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480" w:lineRule="auto"/>
        <w:ind w:left="0" w:right="0" w:firstLine="0"/>
        <w:jc w:val="center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Candidatura mobilità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Living Knowledge LK11 "Research and solidarity"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Nome candidato:</w:t>
      </w: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Recapiti:</w:t>
      </w: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Telefono: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Ufficio o Dipartimento di appartenenza al momento della presentazione della candidatura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8" w:right="0" w:hanging="567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Personale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tecnico-amministrativo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8" w:right="0" w:hanging="567"/>
              <w:jc w:val="left"/>
              <w:rPr>
                <w:rFonts w:ascii="Verdana" w:cs="Verdana" w:eastAsia="Verdana" w:hAnsi="Verdana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Dottorando</w:t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Periodo (previsto) e durata della mobilità (inserire gli eventuali giorni di viaggio):</w:t>
      </w: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N.B. In caso di contratto a tempo determinato la data di svolgimento non può essere successiva alla scadenza del contratto.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Denominazione dell’Università o dell’Impresa ospitante, Codice Erasmus (ove possibile)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5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Test di lingua (indicare una lingua tra: Inglese, Francese, Spagnolo, Tedesco):</w:t>
      </w:r>
      <w:r w:rsidDel="00000000" w:rsidR="00000000" w:rsidRPr="00000000">
        <w:rPr>
          <w:rtl w:val="0"/>
        </w:rPr>
      </w:r>
    </w:p>
    <w:tbl>
      <w:tblPr>
        <w:tblStyle w:val="Table6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Nota: Indicare se test da svolgere o la data dell’ultimo test linguistico superato c/o CLA o motivo di esonero (es. Madrelingua)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Indicare se la mobilità viene effettuata in ERASMUS per la prima volta (o mobilità STT precedenti):</w:t>
      </w:r>
      <w:r w:rsidDel="00000000" w:rsidR="00000000" w:rsidRPr="00000000">
        <w:rPr>
          <w:rtl w:val="0"/>
        </w:rPr>
      </w:r>
    </w:p>
    <w:tbl>
      <w:tblPr>
        <w:tblStyle w:val="Table7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bookmarkStart w:colFirst="0" w:colLast="0" w:name="_heading=h.quz6igntz024" w:id="0"/>
            <w:bookmarkEnd w:id="0"/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(Inserire A.A. e Codice Erasmus o Nome ente/impresa)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Indicare: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- la pertinenza;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- gli obiettivi generali della mobilità,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- risultati attesi e impatto sullo sviluppo professionale del membro del personale e su entrambe le istituzioni (Minimo 10 righe – Massimo 20 righe).</w:t>
      </w:r>
      <w:r w:rsidDel="00000000" w:rsidR="00000000" w:rsidRPr="00000000">
        <w:rPr>
          <w:rtl w:val="0"/>
        </w:rPr>
      </w:r>
    </w:p>
    <w:tbl>
      <w:tblPr>
        <w:tblStyle w:val="Table8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Luogo, data e sottoscrizione del candidato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Sassari,</w:t>
      </w:r>
    </w:p>
    <w:sectPr>
      <w:headerReference r:id="rId7" w:type="default"/>
      <w:footerReference r:id="rId8" w:type="default"/>
      <w:pgSz w:h="16838" w:w="11906" w:orient="portrait"/>
      <w:pgMar w:bottom="1134" w:top="2235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Università degli Studi di Sassari – Piazza Università, 21 – 07100 Sassari – CF e P. IVA 00196350904 Tel. 079/228211</w:t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single"/>
        <w:shd w:fill="auto" w:val="clear"/>
        <w:vertAlign w:val="baseline"/>
        <w:rtl w:val="0"/>
      </w:rPr>
      <w:t xml:space="preserve">Documento da compilarsi esclusivamente con programma di videoscrittura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3924935</wp:posOffset>
          </wp:positionH>
          <wp:positionV relativeFrom="paragraph">
            <wp:posOffset>-182244</wp:posOffset>
          </wp:positionV>
          <wp:extent cx="2195830" cy="9112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5830" cy="911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-4444</wp:posOffset>
          </wp:positionH>
          <wp:positionV relativeFrom="paragraph">
            <wp:posOffset>-156844</wp:posOffset>
          </wp:positionV>
          <wp:extent cx="2857500" cy="42862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57500" cy="4286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-4444</wp:posOffset>
          </wp:positionH>
          <wp:positionV relativeFrom="paragraph">
            <wp:posOffset>337820</wp:posOffset>
          </wp:positionV>
          <wp:extent cx="1734820" cy="371475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4820" cy="371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405" w:hanging="360"/>
      </w:pPr>
      <w:rPr>
        <w:rFonts w:ascii="Verdana" w:cs="Verdana" w:eastAsia="Verdana" w:hAnsi="Verdana"/>
        <w:vertAlign w:val="baseline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5mYyV3IRciOVh4/77Wx3r+mlkg==">CgMxLjAyDmgucXV6NmlnbnR6MDI0OAByITE5cEp3bWN3QkliM0d2a0ZXNEJyN0s3NFRFMWpmczJvQg==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