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74E50B6E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DC3D39">
        <w:rPr>
          <w:rFonts w:asciiTheme="minorHAnsi" w:eastAsia="Arial" w:hAnsiTheme="minorHAnsi" w:cs="Arial"/>
          <w:b/>
          <w:color w:val="000000"/>
          <w:sz w:val="22"/>
          <w:szCs w:val="22"/>
        </w:rPr>
        <w:t>3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7127047" w14:textId="60710D4F" w:rsidR="00DC3D39" w:rsidRPr="00FC4745" w:rsidRDefault="00DC3D39" w:rsidP="00DC3D39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LOTTO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3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CIG </w:t>
      </w:r>
      <w:r w:rsidR="006962C6" w:rsidRPr="006962C6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B7B4B3F234</w:t>
      </w:r>
    </w:p>
    <w:p w14:paraId="496A302E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D.Lgs. 36/2023 e ss.mm., suddivisa in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lotti funzionali per l’affidamento della fornitura di strumentazione scientifica e servizi accessori necessaria per infrastruttura di ricerca progetto "Studio genomico della malattia di 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>lzheimer e nelle demenze associate all’invecchiamento nella popolazione fondatrice sarda" - GENOMAD - COD.LOC.PROG.T3-MZ-16 - PIANO SVILUPPO E COESIONE SALUTE (FSC 2014-2020) – TRAIETTORIA 3 – LINEA DI AZIONE 3.1.</w:t>
      </w:r>
    </w:p>
    <w:p w14:paraId="09C72D21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391B0B5A" w14:textId="6AE7BF89" w:rsidR="00DC3D39" w:rsidRPr="00DC3D39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E01A08">
        <w:rPr>
          <w:rFonts w:asciiTheme="minorHAnsi" w:eastAsia="Arial" w:hAnsiTheme="minorHAnsi" w:cs="Arial"/>
          <w:b/>
          <w:sz w:val="22"/>
          <w:szCs w:val="22"/>
        </w:rPr>
        <w:t>LOTTO 3</w:t>
      </w:r>
      <w:r w:rsidR="00E01A08">
        <w:rPr>
          <w:rFonts w:asciiTheme="minorHAnsi" w:eastAsia="Arial" w:hAnsiTheme="minorHAnsi" w:cs="Arial"/>
          <w:b/>
          <w:sz w:val="22"/>
          <w:szCs w:val="22"/>
        </w:rPr>
        <w:t>:</w:t>
      </w:r>
      <w:r w:rsidRPr="00E01A08">
        <w:rPr>
          <w:rFonts w:asciiTheme="minorHAnsi" w:eastAsia="Arial" w:hAnsiTheme="minorHAnsi" w:cs="Arial"/>
          <w:b/>
          <w:sz w:val="22"/>
          <w:szCs w:val="22"/>
        </w:rPr>
        <w:t xml:space="preserve"> CIG</w:t>
      </w:r>
      <w:r w:rsidR="00E01A08" w:rsidRPr="00E01A08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6962C6" w:rsidRPr="006962C6">
        <w:rPr>
          <w:rFonts w:asciiTheme="minorHAnsi" w:eastAsia="Arial" w:hAnsiTheme="minorHAnsi" w:cs="Arial"/>
          <w:b/>
          <w:bCs/>
          <w:sz w:val="22"/>
          <w:szCs w:val="22"/>
        </w:rPr>
        <w:t>B7B4B3F234</w:t>
      </w:r>
      <w:r w:rsidRPr="00E01A08">
        <w:rPr>
          <w:rFonts w:asciiTheme="minorHAnsi" w:eastAsia="Arial" w:hAnsiTheme="minorHAnsi" w:cs="Arial"/>
          <w:b/>
          <w:sz w:val="22"/>
          <w:szCs w:val="22"/>
        </w:rPr>
        <w:t xml:space="preserve"> - </w:t>
      </w:r>
      <w:r w:rsidRPr="00E01A08">
        <w:rPr>
          <w:rFonts w:asciiTheme="minorHAnsi" w:eastAsia="Arial" w:hAnsiTheme="minorHAnsi" w:cstheme="minorHAnsi"/>
          <w:b/>
          <w:sz w:val="22"/>
          <w:szCs w:val="22"/>
        </w:rPr>
        <w:t>LETTORE DI PIASTRE MULTIMODALE</w:t>
      </w:r>
    </w:p>
    <w:p w14:paraId="5D8F56A8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EFC5880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DC0ECE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4230A251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5ECFE114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67FAAC6E" w14:textId="5D6FC5C6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FB0A77" w:rsidRPr="00FB0A77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57975849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DC3D39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3 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-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CIG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6962C6" w:rsidRPr="006962C6">
        <w:rPr>
          <w:rFonts w:asciiTheme="minorHAnsi" w:eastAsia="Arial" w:hAnsiTheme="minorHAnsi" w:cs="Arial"/>
          <w:b/>
          <w:bCs/>
          <w:iCs/>
          <w:color w:val="000000"/>
          <w:sz w:val="22"/>
          <w:szCs w:val="22"/>
        </w:rPr>
        <w:t>B7B4B3F234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DC3D39" w:rsidRPr="00DC3D39">
        <w:rPr>
          <w:rFonts w:asciiTheme="minorHAnsi" w:eastAsia="Arial" w:hAnsiTheme="minorHAnsi" w:cstheme="minorHAnsi"/>
          <w:b/>
          <w:sz w:val="22"/>
          <w:szCs w:val="22"/>
        </w:rPr>
        <w:t>LETTORE DI PIASTRE MULTIMODALE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361A5BA6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="00DC3D39">
        <w:rPr>
          <w:rFonts w:asciiTheme="minorHAnsi" w:eastAsia="Calibri" w:hAnsiTheme="minorHAnsi" w:cs="Arial"/>
          <w:bCs/>
          <w:color w:val="000000"/>
          <w:sz w:val="22"/>
          <w:szCs w:val="22"/>
        </w:rPr>
        <w:t>275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18FD00C0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5B634E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1E6CCD87" w:rsidR="006627D2" w:rsidRPr="008A0913" w:rsidRDefault="008A0913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8A0913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5B634E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B47A" w14:textId="77777777" w:rsidR="009164BB" w:rsidRDefault="009164BB" w:rsidP="009C345A">
      <w:r>
        <w:separator/>
      </w:r>
    </w:p>
  </w:endnote>
  <w:endnote w:type="continuationSeparator" w:id="0">
    <w:p w14:paraId="11E63078" w14:textId="77777777" w:rsidR="009164BB" w:rsidRDefault="009164BB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6962C6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8C57" w14:textId="77777777" w:rsidR="009164BB" w:rsidRDefault="009164BB" w:rsidP="009C345A">
      <w:r>
        <w:separator/>
      </w:r>
    </w:p>
  </w:footnote>
  <w:footnote w:type="continuationSeparator" w:id="0">
    <w:p w14:paraId="3E637FE3" w14:textId="77777777" w:rsidR="009164BB" w:rsidRDefault="009164BB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2E0340"/>
    <w:rsid w:val="005764B8"/>
    <w:rsid w:val="005A1599"/>
    <w:rsid w:val="005B634E"/>
    <w:rsid w:val="005D5859"/>
    <w:rsid w:val="00622472"/>
    <w:rsid w:val="006627D2"/>
    <w:rsid w:val="006962C6"/>
    <w:rsid w:val="007220C3"/>
    <w:rsid w:val="00805A30"/>
    <w:rsid w:val="008A0913"/>
    <w:rsid w:val="009164BB"/>
    <w:rsid w:val="009C345A"/>
    <w:rsid w:val="009F5C35"/>
    <w:rsid w:val="00D847E7"/>
    <w:rsid w:val="00DC3D39"/>
    <w:rsid w:val="00E01A08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8</cp:revision>
  <dcterms:created xsi:type="dcterms:W3CDTF">2025-07-01T14:26:00Z</dcterms:created>
  <dcterms:modified xsi:type="dcterms:W3CDTF">2025-07-21T09:12:00Z</dcterms:modified>
</cp:coreProperties>
</file>