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Garamond" w:cs="Garamond" w:eastAsia="Garamond" w:hAnsi="Garamond"/>
          <w:b w:val="1"/>
          <w:color w:val="1d1b1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color w:val="1d1b11"/>
          <w:sz w:val="32"/>
          <w:szCs w:val="32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1114425" cy="100012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9307" l="2203" r="88442" t="2664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color w:val="1d1b11"/>
          <w:sz w:val="32"/>
          <w:szCs w:val="32"/>
          <w:rtl w:val="0"/>
        </w:rPr>
        <w:t xml:space="preserve">Università degli Studi di Sassari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color w:val="1d1b11"/>
          <w:sz w:val="26"/>
          <w:szCs w:val="26"/>
          <w:rtl w:val="0"/>
        </w:rPr>
        <w:t xml:space="preserve">QUESTIONARIO SUGLI SPOSTAMENTI CASA-LUOGO DI LAVORO/STUDIO 2024-25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1d1b11"/>
          <w:sz w:val="28"/>
          <w:szCs w:val="28"/>
          <w:rtl w:val="0"/>
        </w:rPr>
        <w:t xml:space="preserve">INFORMATIVA PER IL TRATTAMENTO DEI DATI PERSONALI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1d1b11"/>
          <w:sz w:val="28"/>
          <w:szCs w:val="28"/>
          <w:rtl w:val="0"/>
        </w:rPr>
        <w:t xml:space="preserve">(ai sensi degli artt. 13 e 14 del Regolamento UE 2016/679)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d1b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color w:val="1d1b11"/>
          <w:rtl w:val="0"/>
        </w:rPr>
        <w:t xml:space="preserve">Spett.le interessato/a, con riferimento al questionario su base volontaria utile alla redazione del Piano Spostamenti Casa-Lavoro/Studio (PSCU) dell’Università degli Studi di Sassari </w:t>
      </w:r>
      <w:r w:rsidDel="00000000" w:rsidR="00000000" w:rsidRPr="00000000">
        <w:rPr>
          <w:rFonts w:ascii="Garamond" w:cs="Garamond" w:eastAsia="Garamond" w:hAnsi="Garamond"/>
          <w:color w:val="1d1b11"/>
          <w:rtl w:val="0"/>
        </w:rPr>
        <w:t xml:space="preserve">la informiamo che i suoi dati personali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saranno a) trattati in modo lecito, corretto e trasparente; b) raccolti per finalità determinate, esplicite e legittime; c) adeguati, pertinenti e limitati a quanto necessario rispetto alle finalità per le quali sono trattati; d) saranno esatti e se necessario aggiornati; e) conservati in una forma che consenta l'identificazione dell'interessato per un arco di tempo non superiore al conseguimento delle finalità per le quali sono trattati; f) trattati in modo da garantire un’adeguata sicurezza, mediante misure tecniche e organizzative adeguate, da trattamenti non autorizzati o illeciti e dalla perdita, dalla distruzione o dal danno accidentali.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Attraverso questo documento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,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1d1b11"/>
          <w:rtl w:val="0"/>
        </w:rPr>
        <w:t xml:space="preserve">ai sensi degli </w:t>
      </w:r>
      <w:r w:rsidDel="00000000" w:rsidR="00000000" w:rsidRPr="00000000">
        <w:rPr>
          <w:rFonts w:ascii="Garamond" w:cs="Garamond" w:eastAsia="Garamond" w:hAnsi="Garamond"/>
          <w:b w:val="1"/>
          <w:color w:val="1d1b11"/>
          <w:rtl w:val="0"/>
        </w:rPr>
        <w:t xml:space="preserve">artt. 13 e 14 ss. del GDPR</w:t>
      </w:r>
      <w:r w:rsidDel="00000000" w:rsidR="00000000" w:rsidRPr="00000000">
        <w:rPr>
          <w:rFonts w:ascii="Garamond" w:cs="Garamond" w:eastAsia="Garamond" w:hAnsi="Garamond"/>
          <w:color w:val="1d1b1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la informiamo in merito 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QUALI DATI PERSONALI TRATTEREMO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CHI e PERCHE’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li tratterà,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COME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e per quanto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TEMPO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nonché come esercitare i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DIRITTI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in merito.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9"/>
        <w:gridCol w:w="9653"/>
        <w:tblGridChange w:id="0">
          <w:tblGrid>
            <w:gridCol w:w="459"/>
            <w:gridCol w:w="965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" w:right="-82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IDENTITÀ E DATI DI CONTATTO DEL TITOLARE DEL TRATTAMENTO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82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Titolare del trattamento è l’Università degli Studi di Sassari,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cui legale rappresentante è il Rettore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pro tempore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.</w:t>
              <w:br w:type="textWrapping"/>
              <w:t xml:space="preserve">I dati di contatto del Titolare sono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: Università degli Studi di Sassari,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piazza Università, 21 – 07100 Sassari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right="-82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PEC:</w:t>
              <w:tab/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protocollo@pec.uniss.it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ab/>
              <w:t xml:space="preserve">Email ordinaria:</w:t>
              <w:tab/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rettore@uniss.it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2"/>
              <w:rPr>
                <w:rFonts w:ascii="Garamond" w:cs="Garamond" w:eastAsia="Garamond" w:hAnsi="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" w:right="-82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DI CONTATTO DEL RESPONSABILE DELLA PROTEZIONE DEI DATI (DPO)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-82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Data Protection Officer è contattabile ai seguenti riferimenti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right="-82"/>
              <w:jc w:val="both"/>
              <w:rPr>
                <w:rFonts w:ascii="Garamond" w:cs="Garamond" w:eastAsia="Garamond" w:hAnsi="Garamond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PEC:</w:t>
              <w:tab/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protocollo@pec.uniss.it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ab/>
              <w:t xml:space="preserve">Email ordinaria: </w:t>
            </w:r>
            <w:hyperlink r:id="rId8">
              <w:r w:rsidDel="00000000" w:rsidR="00000000" w:rsidRPr="00000000">
                <w:rPr>
                  <w:rFonts w:ascii="Garamond" w:cs="Garamond" w:eastAsia="Garamond" w:hAnsi="Garamond"/>
                  <w:b w:val="1"/>
                  <w:color w:val="0000ff"/>
                  <w:u w:val="single"/>
                  <w:rtl w:val="0"/>
                </w:rPr>
                <w:t xml:space="preserve">dpo@uniss.it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right="-82"/>
              <w:jc w:val="both"/>
              <w:rPr>
                <w:rFonts w:ascii="Garamond" w:cs="Garamond" w:eastAsia="Garamond" w:hAnsi="Garamond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" w:right="-82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RIFERIMENTI DEL DELEGATO AL MOBILITY MANAGEMENT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82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delegato al mobility management è contattabile ai seguenti riferimenti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right="-82"/>
              <w:jc w:val="both"/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PEC:</w:t>
              <w:tab/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mobilitymanager@pec.uniss.it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ab/>
              <w:t xml:space="preserve">Email: </w:t>
            </w:r>
            <w:hyperlink r:id="rId9">
              <w:r w:rsidDel="00000000" w:rsidR="00000000" w:rsidRPr="00000000">
                <w:rPr>
                  <w:rFonts w:ascii="Garamond" w:cs="Garamond" w:eastAsia="Garamond" w:hAnsi="Garamond"/>
                  <w:b w:val="1"/>
                  <w:color w:val="0000ff"/>
                  <w:u w:val="single"/>
                  <w:rtl w:val="0"/>
                </w:rPr>
                <w:t xml:space="preserve">mobilitymanager@uniss.it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right="-82"/>
              <w:jc w:val="both"/>
              <w:rPr>
                <w:rFonts w:ascii="Garamond" w:cs="Garamond" w:eastAsia="Garamond" w:hAnsi="Garamond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" w:right="-82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PERSONALI, FINALITÀ, BASE GIURIDICA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886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79"/>
              <w:gridCol w:w="2766"/>
              <w:gridCol w:w="3241"/>
              <w:tblGridChange w:id="0">
                <w:tblGrid>
                  <w:gridCol w:w="3879"/>
                  <w:gridCol w:w="2766"/>
                  <w:gridCol w:w="32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spacing w:after="0" w:line="240" w:lineRule="auto"/>
                    <w:ind w:right="-82"/>
                    <w:jc w:val="center"/>
                    <w:rPr>
                      <w:rFonts w:ascii="Garamond" w:cs="Garamond" w:eastAsia="Garamond" w:hAnsi="Garamond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6"/>
                      <w:szCs w:val="16"/>
                      <w:rtl w:val="0"/>
                    </w:rPr>
                    <w:t xml:space="preserve">DATI PERSONALI e FINALITA’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spacing w:after="0" w:line="240" w:lineRule="auto"/>
                    <w:ind w:right="-82"/>
                    <w:jc w:val="center"/>
                    <w:rPr>
                      <w:rFonts w:ascii="Garamond" w:cs="Garamond" w:eastAsia="Garamond" w:hAnsi="Garamond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6"/>
                      <w:szCs w:val="16"/>
                      <w:rtl w:val="0"/>
                    </w:rPr>
                    <w:t xml:space="preserve">CATEGORIE DI INTERESSATI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spacing w:after="0" w:line="240" w:lineRule="auto"/>
                    <w:ind w:right="-82"/>
                    <w:jc w:val="center"/>
                    <w:rPr>
                      <w:rFonts w:ascii="Garamond" w:cs="Garamond" w:eastAsia="Garamond" w:hAnsi="Garamond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6"/>
                      <w:szCs w:val="16"/>
                      <w:rtl w:val="0"/>
                    </w:rPr>
                    <w:t xml:space="preserve">BASE GIURIDICA/ OBBLIGATORIETÀ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Dati personali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01" w:right="0" w:hanging="36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nazionalità, genere, residenza, domicilio, pendolare, sede o fuori sede, possesso patente</w:t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01" w:right="0" w:hanging="36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ati sul rapporto di lavoro o di studio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: tipologia di contratto.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01" w:right="0" w:hanging="36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o, sede di lavoro, qualifica rivestita, tipologia di orario di lavoro, tipologia corso di studi.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01" w:right="0" w:hanging="36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abitudini negli spostamenti casa-università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mezzi di trasporto usati, tempo impiegato, numero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passeggeri, eventuali tappe intermedie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highlight w:val="cyan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Il trattamento dei dati è necessario all’elaborazione del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Piano Spostamenti Casa-Lavoro/Studio (PSCU)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dell’Università degli Studi di Sassari, obbligatorio per le pubbliche amministrazioni ai sensi dell’art. 229 co.4 del D.L. 34/2020 conv. in L. 77/2020, utile per la definizione di azioni efficaci per promuovere forme di mobilità sostenibile e per il raggiungimento degli obiettivi stabiliti dall’Agenda ONU 2030.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personale docente, tecnico amministrativo, collaboratori e ricercatori, dottorandi, studenti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  <w:rtl w:val="0"/>
                    </w:rPr>
                    <w:t xml:space="preserve">(art. 6. 1c GDPR)</w:t>
                  </w:r>
                </w:p>
                <w:p w:rsidR="00000000" w:rsidDel="00000000" w:rsidP="00000000" w:rsidRDefault="00000000" w:rsidRPr="00000000" w14:paraId="0000002F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“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i w:val="1"/>
                      <w:sz w:val="18"/>
                      <w:szCs w:val="18"/>
                      <w:rtl w:val="0"/>
                    </w:rPr>
                    <w:t xml:space="preserve">il trattamento è necessario per adempiere un obbligo legale al quale è soggetto il titolare del trattamento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”;</w:t>
                  </w:r>
                </w:p>
                <w:p w:rsidR="00000000" w:rsidDel="00000000" w:rsidP="00000000" w:rsidRDefault="00000000" w:rsidRPr="00000000" w14:paraId="00000030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  <w:highlight w:val="cyan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La compilazione del questionario è volontaria e facoltativa. Si può decidere di interrompere la compilazione in qualsiasi momento, per qualsiasi motivo, senza alcuna conseguenza.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Tuttavia, la mancata, inesatta o incompleta compilazione del questionario può incidere sull’adozione di misure adeguate a soddisfare specifiche esigenze di mobilità e a migliorare gli spostamenti urbani ed extraurbani da/per l’Università.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Dati personali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di contatto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e-mail istituzionale o personale non uniss)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per la comunicazione, su richiesta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dell'interessato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 di un PIANO PERSONALIZZATO degli spostamenti casa/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luogo di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lavoro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 o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studio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personale docente, tecnico amministrativo, collaboratori e ricercatori, dottorandi, studenti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  <w:rtl w:val="0"/>
                    </w:rPr>
                    <w:t xml:space="preserve">richiedenti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  <w:rtl w:val="0"/>
                    </w:rPr>
                    <w:t xml:space="preserve">art. 6. 1e GDPR)</w:t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i w:val="1"/>
                      <w:sz w:val="18"/>
                      <w:szCs w:val="18"/>
                      <w:rtl w:val="0"/>
                    </w:rPr>
                    <w:t xml:space="preserve">il trattamento è necessario per l'esecuzione di un compito di interesse pubblico o connesso all'esercizio di pubblici poteri di cui è investito il titolare del trattamento.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La mancata indicazione della email e richiesta non consente di procedere alla elaborazione e successiva trasmissione del piano personalizzato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highlight w:val="cyan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vertAlign w:val="baseline"/>
                      <w:rtl w:val="0"/>
                    </w:rPr>
                    <w:t xml:space="preserve">I dati potranno essere trattati anche per scopi statistici, di archiviazione, di ricerca scientifica o storica.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18"/>
                      <w:szCs w:val="18"/>
                      <w:rtl w:val="0"/>
                    </w:rPr>
                    <w:t xml:space="preserve">personale docente, tecnico amministrativo, collaboratori e ricercatori, dottorandi, studenti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  <w:rtl w:val="0"/>
                    </w:rPr>
                    <w:t xml:space="preserve">(art. 6. 1e GDPR)</w:t>
                  </w:r>
                </w:p>
                <w:p w:rsidR="00000000" w:rsidDel="00000000" w:rsidP="00000000" w:rsidRDefault="00000000" w:rsidRPr="00000000" w14:paraId="00000041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i w:val="1"/>
                      <w:sz w:val="18"/>
                      <w:szCs w:val="18"/>
                      <w:rtl w:val="0"/>
                    </w:rPr>
                    <w:t xml:space="preserve">il trattamento è necessario per l'esecuzione di un compito di interesse pubblico o connesso all'esercizio di pubblici poteri di cui è investito il titolare del trattamento.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pacing w:after="0" w:line="240" w:lineRule="auto"/>
                    <w:ind w:right="-82"/>
                    <w:jc w:val="both"/>
                    <w:rPr>
                      <w:rFonts w:ascii="Garamond" w:cs="Garamond" w:eastAsia="Garamond" w:hAnsi="Garamond"/>
                      <w:b w:val="1"/>
                      <w:sz w:val="18"/>
                      <w:szCs w:val="18"/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" w:right="-82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SOGGETTI AUTORIZZATI AL TRATTAMENTO, DESTINATARI ED EVENTUALI CATEGORIE DI DESTINATARI DEI DATI PERSONALI, RESPONSABILI 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 dati verranno trattati all’interno dell’Università, sotto la responsabilità del Titolare, da soggetti autorizzati e adeguatamente istruiti ai sensi dell’art. 29 del GDPR, coinvolti nelle funzioni necessarie allo svolgimento delle specifiche finalità indicate (es: responsabili del progetto, ricercatori UniSS).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 dati personali potranno essere comunicati all’esterno a soggetti terzi, nel caso la loro attività sia necessaria al conseguimento delle finalità già indicate, anche avuto riguardo dei procedimenti di propria competenza istituzionale e di tutti quei soggetti pubblici ai quali, in presenza dei relativi presupposti, la comunicazione è prevista obbligatoriamente da disposizioni comunitarie, norme di legge o regolamento.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" w:right="-82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PERIODO DI CONSERVAZIONE DEI DATI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ind w:right="73"/>
              <w:jc w:val="right"/>
              <w:rPr>
                <w:rFonts w:ascii="Font Awesome 5 Free Regular" w:cs="Font Awesome 5 Free Regular" w:eastAsia="Font Awesome 5 Free Regular" w:hAnsi="Font Awesome 5 Free Regula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 dati personali saranno conservati conformemente ai principi di cui all’art. 5 regolamento UE 2016/679, per un arco di tempo non superiore al conseguimento delle finalità e in osservanza degli obblighi legali e/o regolamentari in materia.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 dati personali all’interno dell’applicativo EU Survey verranno cancellati non appena si renderanno superflui in relazione alle finalità suindicate. Il tempo massimo di conservazione è pari a 6 mesi.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  <w:tab w:val="left" w:leader="none" w:pos="830"/>
              </w:tabs>
              <w:spacing w:after="0" w:before="121" w:line="240" w:lineRule="auto"/>
              <w:ind w:left="-2" w:right="97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 dati saranno custoditi dal Titolare per il periodo utile all’elaborazione delle analisi statistiche, alla redazione del PSCU e alla elaborazione di materiale scientifico inerente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  <w:tab w:val="left" w:leader="none" w:pos="830"/>
              </w:tabs>
              <w:spacing w:after="0" w:before="121" w:line="240" w:lineRule="auto"/>
              <w:ind w:left="-2" w:right="97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  <w:tab w:val="left" w:leader="none" w:pos="830"/>
              </w:tabs>
              <w:spacing w:after="0" w:before="121" w:line="240" w:lineRule="auto"/>
              <w:ind w:left="-2" w:right="97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 dati personali relativi all’eventuale piano personalizzato saranno conservati per un per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iodo utile al monitoraggio ed eventuale aggiustamento del programma individuale in funzione delle esigenze dei richiedenti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  <w:tab w:val="left" w:leader="none" w:pos="830"/>
              </w:tabs>
              <w:spacing w:after="0" w:before="121" w:line="240" w:lineRule="auto"/>
              <w:ind w:left="-2" w:right="97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95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FONTE DA CUI HANNO ORIGINE I DATI PERSONALI NON OTTENUTI PRESSO L’INTERESSATO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360" w:lineRule="auto"/>
              <w:ind w:right="73"/>
              <w:jc w:val="right"/>
              <w:rPr>
                <w:rFonts w:ascii="Font Awesome 5 Free Solid" w:cs="Font Awesome 5 Free Solid" w:eastAsia="Font Awesome 5 Free Solid" w:hAnsi="Font Awesome 5 Free Soli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Titolare tratterà dati personali forniti direttamente da lei interessato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95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TRATTIAMO I DATI PERSONALI, MEZZI/MODALITÀ DEL TRATTAMENTO/MISURE DI SICUREZZA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Garamond" w:cs="Garamond" w:eastAsia="Garamond" w:hAnsi="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trattamento dei dati avverrà tramite l’utilizzo della piattaforma EU Survey (</w:t>
            </w:r>
            <w:hyperlink r:id="rId10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https://ec.europa.eu/eusurvey</w:t>
              </w:r>
            </w:hyperlink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) della DG DIGIT della Commissione Europea la cui cookie policy è disponibile all’indirizzo </w:t>
            </w:r>
            <w:hyperlink r:id="rId11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https://commission.europa.eu/cookies-policy_en</w:t>
              </w:r>
            </w:hyperlink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 tramite strumenti di office automation dell’ateneo.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Ad ogni soggetto partecipante al questionario verrà attribuito un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codice alfanumerico univoco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che sarà custodito su supporto elettronico dotato di credenziali di autenticazione accessibili ai soli soggetti autorizzati.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Successivamente a questa fase, i dati saranno eliminati dalla piattaforma online e ne sarà limitato l’accesso ai responsabili del progetto attraverso l'utilizzo di credenziali di autenticazione.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trattamento potrebbe includere “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operazioni (…) quali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distruzione”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(art. 4 GDPR).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 tal fine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Titolare adotta specifiche e adeguate misure di sicurezza a garanzia della sicurezza, dell’integrità, disponibilità e riservatezza dei dati stessi per fronteggiare i rischi di distruzione, perdita, modifica, accesso, divulgazione non autorizzata.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95" w:right="0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PROCESSO DECISIONALE AUTOMATIZZATO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Il trattamento non comporta l'attivazione di un processo decisionale automatizzato (compresa la profilazione)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95" w:right="0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TRASFERIMENTO DI DATI AD UN PAESE TERZO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360" w:lineRule="auto"/>
              <w:ind w:right="73"/>
              <w:rPr>
                <w:rFonts w:ascii="Garamond" w:cs="Garamond" w:eastAsia="Garamond" w:hAnsi="Garamond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dati personali raccolti non saranno oggetto di trasferimento in Paesi Terzi.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95" w:right="0" w:hanging="360"/>
              <w:jc w:val="both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DIRITTI DELL’INTERESSATO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Contattando il Titolare del Trattamento o il Data Protection Officer agli indirizzi indicati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lei, in quanto interessato, ha il diritto di esercitare il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diritto di accesso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ai propri dati personali (art. 15 GDPR); il diritto di richiedere maggiori informazioni in relazione ai contenuti della presente informativa (artt. 13 e 14); il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diritto di rettifica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dei dati personali inesatti e di integrazione dei dati personali incompleti (art. 16);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il diritto alla cancellazione/oblio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(fatta eccezione per quelli contenuti in atti che devono essere obbligatoriamente conservati dall’Università e salvo che sussista un motivo legittimo prevalente per procedere al trattamento) (art. 17);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il diritto di limitazione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(art. 18);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il diritto alla portabilità dei dati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(nei casi previsti dalla normativa) (art. 20);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il diritto di opposizione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(art. 21)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PER I TRATTAMENTI BASATI SUL CONSENSO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, lei ha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diritto di revocare il consenso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 qualsiasi momento, senza pregiudicare la liceità del trattamento basato sul consenso prestato prima della revoca (art. 7 c.3 GDPR) contattando il Titolare del trattamento o il DPO;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8"/>
                <w:szCs w:val="18"/>
                <w:rtl w:val="0"/>
              </w:rPr>
              <w:t xml:space="preserve">DIRITTO DI RECLAMO A UNA AUTORITÀ DI CONTROLLO (art. 77 GDPR) o DIRITTO DI RICORSO ALL’AUTORITÀ GIUDIZIARIA ai sensi dell’art. 140-bis del D.lgs n. 196/203, come modificato dal D.lgs. n. 101/2018: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Garamond" w:cs="Garamond" w:eastAsia="Garamond" w:hAnsi="Garamond"/>
                <w:color w:val="0000ff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Autorità Garante della Privacy</w:t>
              <w:br w:type="textWrapping"/>
            </w:r>
            <w:hyperlink r:id="rId12">
              <w:r w:rsidDel="00000000" w:rsidR="00000000" w:rsidRPr="00000000">
                <w:rPr>
                  <w:rFonts w:ascii="Garamond" w:cs="Garamond" w:eastAsia="Garamond" w:hAnsi="Garamond"/>
                  <w:color w:val="0000ff"/>
                  <w:u w:val="single"/>
                  <w:rtl w:val="0"/>
                </w:rPr>
                <w:t xml:space="preserve">www.garanteprivacy.it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360" w:lineRule="auto"/>
              <w:ind w:right="73"/>
              <w:jc w:val="right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-82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right="-82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AGGIORNAMENTO DELL’INFORMATIVA</w:t>
            </w: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right="-82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Questa informativa potrà essere oggetto di aggiornamento.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right="-82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Per questa ragione le consigliamo di verificare periodicamente la sezione Privacy del sito di ateneo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right="-82"/>
              <w:rPr>
                <w:rFonts w:ascii="Garamond" w:cs="Garamond" w:eastAsia="Garamond" w:hAnsi="Garamond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Garamond" w:cs="Garamond" w:eastAsia="Garamond" w:hAnsi="Garamond"/>
                  <w:color w:val="0000ff"/>
                  <w:sz w:val="16"/>
                  <w:szCs w:val="16"/>
                  <w:u w:val="single"/>
                  <w:rtl w:val="0"/>
                </w:rPr>
                <w:t xml:space="preserve">www.uniss.it/privacy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Font Awesome 5 Free Solid" w:cs="Font Awesome 5 Free Solid" w:eastAsia="Font Awesome 5 Free Solid" w:hAnsi="Font Awesome 5 Free Solid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per consultare e riferirsi sempre alla versione più recente.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200" w:line="276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ont Awesome 5 Free Solid"/>
  <w:font w:name="Font Awesome 5 Free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Bdr>
        <w:top w:color="000000" w:space="1" w:sz="4" w:val="single"/>
      </w:pBdr>
      <w:spacing w:line="240" w:lineRule="auto"/>
      <w:rPr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Rev_bozza_modello_per_Informativa_GDPR_FEB2024.docx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95" w:hanging="360"/>
      </w:pPr>
      <w:rPr>
        <w:b w:val="1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115" w:hanging="360"/>
      </w:pPr>
      <w:rPr/>
    </w:lvl>
    <w:lvl w:ilvl="2">
      <w:start w:val="1"/>
      <w:numFmt w:val="lowerRoman"/>
      <w:lvlText w:val="%3."/>
      <w:lvlJc w:val="right"/>
      <w:pPr>
        <w:ind w:left="1835" w:hanging="180"/>
      </w:pPr>
      <w:rPr/>
    </w:lvl>
    <w:lvl w:ilvl="3">
      <w:start w:val="1"/>
      <w:numFmt w:val="decimal"/>
      <w:lvlText w:val="%4."/>
      <w:lvlJc w:val="left"/>
      <w:pPr>
        <w:ind w:left="2555" w:hanging="360"/>
      </w:pPr>
      <w:rPr/>
    </w:lvl>
    <w:lvl w:ilvl="4">
      <w:start w:val="1"/>
      <w:numFmt w:val="lowerLetter"/>
      <w:lvlText w:val="%5."/>
      <w:lvlJc w:val="left"/>
      <w:pPr>
        <w:ind w:left="3275" w:hanging="360"/>
      </w:pPr>
      <w:rPr/>
    </w:lvl>
    <w:lvl w:ilvl="5">
      <w:start w:val="1"/>
      <w:numFmt w:val="lowerRoman"/>
      <w:lvlText w:val="%6."/>
      <w:lvlJc w:val="right"/>
      <w:pPr>
        <w:ind w:left="3995" w:hanging="180"/>
      </w:pPr>
      <w:rPr/>
    </w:lvl>
    <w:lvl w:ilvl="6">
      <w:start w:val="1"/>
      <w:numFmt w:val="decimal"/>
      <w:lvlText w:val="%7."/>
      <w:lvlJc w:val="left"/>
      <w:pPr>
        <w:ind w:left="4715" w:hanging="360"/>
      </w:pPr>
      <w:rPr/>
    </w:lvl>
    <w:lvl w:ilvl="7">
      <w:start w:val="1"/>
      <w:numFmt w:val="lowerLetter"/>
      <w:lvlText w:val="%8."/>
      <w:lvlJc w:val="left"/>
      <w:pPr>
        <w:ind w:left="5435" w:hanging="360"/>
      </w:pPr>
      <w:rPr/>
    </w:lvl>
    <w:lvl w:ilvl="8">
      <w:start w:val="1"/>
      <w:numFmt w:val="lowerRoman"/>
      <w:lvlText w:val="%9."/>
      <w:lvlJc w:val="right"/>
      <w:pPr>
        <w:ind w:left="615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3DDE"/>
    <w:pPr>
      <w:spacing w:after="160" w:line="259" w:lineRule="auto"/>
    </w:pPr>
    <w:rPr>
      <w:rFonts w:ascii="Calibri" w:cs="Times New Roman" w:eastAsia="Calibri" w:hAnsi="Calibri"/>
    </w:rPr>
  </w:style>
  <w:style w:type="paragraph" w:styleId="Titolo2">
    <w:name w:val="heading 2"/>
    <w:basedOn w:val="Normale"/>
    <w:link w:val="Titolo2Carattere"/>
    <w:uiPriority w:val="9"/>
    <w:qFormat w:val="1"/>
    <w:rsid w:val="006234FE"/>
    <w:pPr>
      <w:spacing w:after="100" w:afterAutospacing="1" w:before="100" w:beforeAutospacing="1" w:line="240" w:lineRule="auto"/>
      <w:outlineLvl w:val="1"/>
    </w:pPr>
    <w:rPr>
      <w:rFonts w:ascii="Times New Roman" w:eastAsia="Times New Roman" w:hAnsi="Times New Roman"/>
      <w:b w:val="1"/>
      <w:bCs w:val="1"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 w:val="1"/>
    <w:rsid w:val="006234FE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A51CA"/>
    <w:pPr>
      <w:tabs>
        <w:tab w:val="center" w:pos="4819"/>
        <w:tab w:val="right" w:pos="9638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A51CA"/>
  </w:style>
  <w:style w:type="paragraph" w:styleId="Pidipagina">
    <w:name w:val="footer"/>
    <w:basedOn w:val="Normale"/>
    <w:link w:val="PidipaginaCarattere"/>
    <w:uiPriority w:val="99"/>
    <w:unhideWhenUsed w:val="1"/>
    <w:rsid w:val="007A51CA"/>
    <w:pPr>
      <w:tabs>
        <w:tab w:val="center" w:pos="4819"/>
        <w:tab w:val="right" w:pos="9638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A51CA"/>
  </w:style>
  <w:style w:type="table" w:styleId="Grigliatabella">
    <w:name w:val="Table Grid"/>
    <w:basedOn w:val="Tabellanormale"/>
    <w:uiPriority w:val="59"/>
    <w:rsid w:val="007A51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A51C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A51CA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6C3DDE"/>
    <w:rPr>
      <w:color w:val="0000ff" w:themeColor="hyperlink"/>
      <w:u w:val="single"/>
    </w:rPr>
  </w:style>
  <w:style w:type="table" w:styleId="Grigliachiara-Colore2">
    <w:name w:val="Light Grid Accent 2"/>
    <w:basedOn w:val="Tabellanormale"/>
    <w:uiPriority w:val="62"/>
    <w:rsid w:val="007A3546"/>
    <w:pPr>
      <w:spacing w:after="0" w:line="240" w:lineRule="auto"/>
    </w:pPr>
    <w:rPr>
      <w:rFonts w:ascii="Calibri" w:cs="Times New Roman" w:eastAsia="Calibri" w:hAnsi="Calibri"/>
      <w:sz w:val="20"/>
      <w:szCs w:val="20"/>
      <w:lang w:eastAsia="it-IT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character" w:styleId="Titolo2Carattere" w:customStyle="1">
    <w:name w:val="Titolo 2 Carattere"/>
    <w:basedOn w:val="Carpredefinitoparagrafo"/>
    <w:link w:val="Titolo2"/>
    <w:uiPriority w:val="9"/>
    <w:rsid w:val="006234FE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6234FE"/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 w:val="1"/>
    <w:rsid w:val="006234F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593B85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593B85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593B85"/>
    <w:rPr>
      <w:rFonts w:ascii="Calibri" w:cs="Times New Roman" w:eastAsia="Calibri" w:hAnsi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593B85"/>
    <w:rPr>
      <w:vertAlign w:val="superscript"/>
    </w:rPr>
  </w:style>
  <w:style w:type="paragraph" w:styleId="TableParagraph" w:customStyle="1">
    <w:name w:val="Table Paragraph"/>
    <w:basedOn w:val="Normale"/>
    <w:uiPriority w:val="1"/>
    <w:qFormat w:val="1"/>
    <w:rsid w:val="00F473EF"/>
    <w:pPr>
      <w:widowControl w:val="0"/>
      <w:autoSpaceDE w:val="0"/>
      <w:autoSpaceDN w:val="0"/>
      <w:spacing w:after="0" w:line="240" w:lineRule="auto"/>
      <w:ind w:left="110"/>
    </w:pPr>
    <w:rPr>
      <w:rFonts w:ascii="Verdana" w:cs="Verdana" w:eastAsia="Verdana" w:hAnsi="Verdana"/>
      <w:lang w:bidi="it-IT" w:eastAsia="it-IT"/>
    </w:rPr>
  </w:style>
  <w:style w:type="paragraph" w:styleId="Default" w:customStyle="1">
    <w:name w:val="Default"/>
    <w:rsid w:val="001A4048"/>
    <w:pPr>
      <w:autoSpaceDE w:val="0"/>
      <w:autoSpaceDN w:val="0"/>
      <w:adjustRightInd w:val="0"/>
      <w:spacing w:after="0" w:line="240" w:lineRule="auto"/>
    </w:pPr>
    <w:rPr>
      <w:rFonts w:ascii="Garamond" w:cs="Garamond" w:hAnsi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419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94197F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94197F"/>
    <w:rPr>
      <w:rFonts w:ascii="Calibri" w:cs="Times New Roman" w:eastAsia="Calibri" w:hAnsi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4197F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4197F"/>
    <w:rPr>
      <w:rFonts w:ascii="Calibri" w:cs="Times New Roman" w:eastAsia="Calibri" w:hAnsi="Calibri"/>
      <w:b w:val="1"/>
      <w:bCs w:val="1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E30E96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 w:val="1"/>
    <w:rsid w:val="00F67338"/>
    <w:rPr>
      <w:color w:val="808080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21A32"/>
    <w:rPr>
      <w:color w:val="605e5c"/>
      <w:shd w:color="auto" w:fill="e1dfdd" w:val="clear"/>
    </w:rPr>
  </w:style>
  <w:style w:type="numbering" w:styleId="Elencocorrente1" w:customStyle="1">
    <w:name w:val="Elenco corrente1"/>
    <w:uiPriority w:val="99"/>
    <w:rsid w:val="00CC4A4C"/>
    <w:pPr>
      <w:numPr>
        <w:numId w:val="4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mmission.europa.eu/cookies-policy_en" TargetMode="External"/><Relationship Id="rId10" Type="http://schemas.openxmlformats.org/officeDocument/2006/relationships/hyperlink" Target="https://ec.europa.eu/eusurvey" TargetMode="External"/><Relationship Id="rId13" Type="http://schemas.openxmlformats.org/officeDocument/2006/relationships/hyperlink" Target="http://www.uniss.it/privacy" TargetMode="External"/><Relationship Id="rId12" Type="http://schemas.openxmlformats.org/officeDocument/2006/relationships/hyperlink" Target="http://www.garanteprivacy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bilitymanager@uniss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po@uniss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bKu58aVhWCo1tE53yyMG0+HzA==">CgMxLjA4AHIhMUdqUTd1ZjhqLU80ZThzWnMwVTRuYTJScEM4UEZoM3Vj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2025-03-06T08:27:00Z</dcterms:created>
  <dc:creator>Pielle</dc:creator>
</cp:coreProperties>
</file>