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13B" w:rsidRDefault="00EB513B" w:rsidP="00B57960">
      <w:pPr>
        <w:spacing w:after="0" w:line="240" w:lineRule="auto"/>
        <w:jc w:val="right"/>
        <w:rPr>
          <w:rFonts w:ascii="Garamond" w:hAnsi="Garamond"/>
          <w:sz w:val="24"/>
          <w:szCs w:val="24"/>
        </w:rPr>
      </w:pPr>
      <w:bookmarkStart w:id="0" w:name="_GoBack"/>
      <w:bookmarkEnd w:id="0"/>
    </w:p>
    <w:p w:rsidR="00862BE1" w:rsidRDefault="00862BE1" w:rsidP="00B57960">
      <w:pPr>
        <w:spacing w:after="0" w:line="240" w:lineRule="auto"/>
        <w:jc w:val="right"/>
        <w:rPr>
          <w:rFonts w:ascii="Garamond" w:hAnsi="Garamond"/>
          <w:sz w:val="24"/>
          <w:szCs w:val="24"/>
        </w:rPr>
      </w:pPr>
      <w:r>
        <w:rPr>
          <w:rFonts w:ascii="Garamond" w:hAnsi="Garamond"/>
          <w:sz w:val="24"/>
          <w:szCs w:val="24"/>
        </w:rPr>
        <w:t xml:space="preserve">Alla Conferenza Nazionale dei Rettori </w:t>
      </w:r>
    </w:p>
    <w:p w:rsidR="00862BE1" w:rsidRDefault="00862BE1" w:rsidP="00B57960">
      <w:pPr>
        <w:spacing w:after="0" w:line="240" w:lineRule="auto"/>
        <w:jc w:val="center"/>
        <w:rPr>
          <w:rFonts w:ascii="Garamond" w:hAnsi="Garamond"/>
          <w:sz w:val="24"/>
          <w:szCs w:val="24"/>
        </w:rPr>
      </w:pPr>
      <w:r>
        <w:rPr>
          <w:rFonts w:ascii="Garamond" w:hAnsi="Garamond"/>
          <w:sz w:val="24"/>
          <w:szCs w:val="24"/>
        </w:rPr>
        <w:t xml:space="preserve">                                                                               delle Università Italiane</w:t>
      </w:r>
    </w:p>
    <w:p w:rsidR="00862BE1" w:rsidRDefault="00862BE1" w:rsidP="00862BE1">
      <w:pPr>
        <w:jc w:val="right"/>
        <w:rPr>
          <w:rFonts w:ascii="Garamond" w:hAnsi="Garamond"/>
          <w:sz w:val="24"/>
          <w:szCs w:val="24"/>
        </w:rPr>
      </w:pPr>
    </w:p>
    <w:p w:rsidR="00862BE1" w:rsidRDefault="00862BE1" w:rsidP="00862BE1">
      <w:pPr>
        <w:jc w:val="both"/>
        <w:rPr>
          <w:rFonts w:ascii="Garamond" w:hAnsi="Garamond"/>
          <w:b/>
          <w:sz w:val="24"/>
          <w:szCs w:val="24"/>
        </w:rPr>
      </w:pPr>
      <w:r w:rsidRPr="00862BE1">
        <w:rPr>
          <w:rFonts w:ascii="Garamond" w:hAnsi="Garamond"/>
          <w:b/>
          <w:sz w:val="24"/>
          <w:szCs w:val="24"/>
        </w:rPr>
        <w:t xml:space="preserve">Oggetto: chiarimenti </w:t>
      </w:r>
      <w:r w:rsidR="005D7A94">
        <w:rPr>
          <w:rFonts w:ascii="Garamond" w:hAnsi="Garamond"/>
          <w:b/>
          <w:sz w:val="24"/>
          <w:szCs w:val="24"/>
        </w:rPr>
        <w:t>in merito a</w:t>
      </w:r>
      <w:r w:rsidRPr="00862BE1">
        <w:rPr>
          <w:rFonts w:ascii="Garamond" w:hAnsi="Garamond"/>
          <w:b/>
          <w:sz w:val="24"/>
          <w:szCs w:val="24"/>
        </w:rPr>
        <w:t xml:space="preserve">ll’ </w:t>
      </w:r>
      <w:proofErr w:type="spellStart"/>
      <w:r w:rsidR="0004707D" w:rsidRPr="00862BE1">
        <w:rPr>
          <w:rFonts w:ascii="Garamond" w:hAnsi="Garamond"/>
          <w:b/>
          <w:sz w:val="24"/>
          <w:szCs w:val="24"/>
        </w:rPr>
        <w:t>All</w:t>
      </w:r>
      <w:proofErr w:type="spellEnd"/>
      <w:r w:rsidR="0004707D" w:rsidRPr="00862BE1">
        <w:rPr>
          <w:rFonts w:ascii="Garamond" w:hAnsi="Garamond"/>
          <w:b/>
          <w:sz w:val="24"/>
          <w:szCs w:val="24"/>
        </w:rPr>
        <w:t xml:space="preserve">. </w:t>
      </w:r>
      <w:r w:rsidR="0004707D">
        <w:rPr>
          <w:rFonts w:ascii="Garamond" w:hAnsi="Garamond"/>
          <w:b/>
          <w:sz w:val="24"/>
          <w:szCs w:val="24"/>
        </w:rPr>
        <w:t>A</w:t>
      </w:r>
      <w:r w:rsidR="0004707D" w:rsidRPr="00862BE1">
        <w:rPr>
          <w:rFonts w:ascii="Garamond" w:hAnsi="Garamond"/>
          <w:b/>
          <w:sz w:val="24"/>
          <w:szCs w:val="24"/>
        </w:rPr>
        <w:t xml:space="preserve"> del Decreto ministeriale 22 aprile 2024, n. 62</w:t>
      </w:r>
      <w:r w:rsidR="0004707D">
        <w:rPr>
          <w:rFonts w:ascii="Garamond" w:hAnsi="Garamond"/>
          <w:b/>
          <w:sz w:val="24"/>
          <w:szCs w:val="24"/>
        </w:rPr>
        <w:t xml:space="preserve">0 e </w:t>
      </w:r>
      <w:r w:rsidR="005D7A94">
        <w:rPr>
          <w:rFonts w:ascii="Garamond" w:hAnsi="Garamond"/>
          <w:b/>
          <w:sz w:val="24"/>
          <w:szCs w:val="24"/>
        </w:rPr>
        <w:t>al</w:t>
      </w:r>
      <w:r w:rsidR="00EB513B">
        <w:rPr>
          <w:rFonts w:ascii="Garamond" w:hAnsi="Garamond"/>
          <w:b/>
          <w:sz w:val="24"/>
          <w:szCs w:val="24"/>
        </w:rPr>
        <w:t xml:space="preserve">l’ </w:t>
      </w:r>
      <w:proofErr w:type="spellStart"/>
      <w:r w:rsidR="005D7A94">
        <w:rPr>
          <w:rFonts w:ascii="Garamond" w:hAnsi="Garamond"/>
          <w:b/>
          <w:sz w:val="24"/>
          <w:szCs w:val="24"/>
        </w:rPr>
        <w:t>All</w:t>
      </w:r>
      <w:proofErr w:type="spellEnd"/>
      <w:r w:rsidR="005D7A94">
        <w:rPr>
          <w:rFonts w:ascii="Garamond" w:hAnsi="Garamond"/>
          <w:b/>
          <w:sz w:val="24"/>
          <w:szCs w:val="24"/>
        </w:rPr>
        <w:t xml:space="preserve">. </w:t>
      </w:r>
      <w:r w:rsidRPr="00862BE1">
        <w:rPr>
          <w:rFonts w:ascii="Garamond" w:hAnsi="Garamond"/>
          <w:b/>
          <w:sz w:val="24"/>
          <w:szCs w:val="24"/>
        </w:rPr>
        <w:t xml:space="preserve">B del Decreto ministeriale 22 aprile 2024, n. 621. </w:t>
      </w:r>
    </w:p>
    <w:p w:rsidR="00862BE1" w:rsidRDefault="00862BE1" w:rsidP="00862BE1">
      <w:pPr>
        <w:jc w:val="both"/>
        <w:rPr>
          <w:rFonts w:ascii="Garamond" w:hAnsi="Garamond"/>
          <w:b/>
          <w:sz w:val="24"/>
          <w:szCs w:val="24"/>
        </w:rPr>
      </w:pPr>
    </w:p>
    <w:p w:rsidR="0004707D" w:rsidRPr="007824C4" w:rsidRDefault="00862BE1" w:rsidP="0004707D">
      <w:pPr>
        <w:spacing w:line="360" w:lineRule="auto"/>
        <w:jc w:val="both"/>
        <w:rPr>
          <w:rFonts w:ascii="Garamond" w:hAnsi="Garamond"/>
          <w:sz w:val="24"/>
          <w:szCs w:val="24"/>
        </w:rPr>
      </w:pPr>
      <w:r>
        <w:rPr>
          <w:rFonts w:ascii="Garamond" w:hAnsi="Garamond"/>
          <w:b/>
          <w:sz w:val="24"/>
          <w:szCs w:val="24"/>
        </w:rPr>
        <w:tab/>
      </w:r>
      <w:r w:rsidR="007824C4" w:rsidRPr="007824C4">
        <w:rPr>
          <w:rFonts w:ascii="Garamond" w:hAnsi="Garamond"/>
          <w:sz w:val="24"/>
          <w:szCs w:val="24"/>
        </w:rPr>
        <w:t xml:space="preserve">In riscontro alla nota di cui in oggetto pervenuta </w:t>
      </w:r>
      <w:r w:rsidR="00B57960">
        <w:rPr>
          <w:rFonts w:ascii="Garamond" w:hAnsi="Garamond"/>
          <w:sz w:val="24"/>
          <w:szCs w:val="24"/>
        </w:rPr>
        <w:t>il 24 maggio scorso con la quale si chiede un chiarimento in merito a</w:t>
      </w:r>
      <w:r w:rsidR="007824C4">
        <w:rPr>
          <w:rFonts w:ascii="Garamond" w:hAnsi="Garamond"/>
          <w:sz w:val="24"/>
          <w:szCs w:val="24"/>
        </w:rPr>
        <w:t xml:space="preserve">gli allegati A e B dei decreti 620 e 621 del 22 aprile 2024, </w:t>
      </w:r>
      <w:r w:rsidR="0004707D" w:rsidRPr="007824C4">
        <w:rPr>
          <w:rFonts w:ascii="Garamond" w:hAnsi="Garamond"/>
          <w:sz w:val="24"/>
          <w:szCs w:val="24"/>
        </w:rPr>
        <w:t>si r</w:t>
      </w:r>
      <w:r w:rsidR="007824C4" w:rsidRPr="007824C4">
        <w:rPr>
          <w:rFonts w:ascii="Garamond" w:hAnsi="Garamond"/>
          <w:sz w:val="24"/>
          <w:szCs w:val="24"/>
        </w:rPr>
        <w:t xml:space="preserve">appresenta </w:t>
      </w:r>
      <w:r w:rsidR="0004707D" w:rsidRPr="007824C4">
        <w:rPr>
          <w:rFonts w:ascii="Garamond" w:hAnsi="Garamond"/>
          <w:sz w:val="24"/>
          <w:szCs w:val="24"/>
        </w:rPr>
        <w:t xml:space="preserve">quanto segue. </w:t>
      </w:r>
    </w:p>
    <w:p w:rsidR="007E63C1" w:rsidRDefault="00B57960" w:rsidP="00B57960">
      <w:pPr>
        <w:spacing w:line="360" w:lineRule="auto"/>
        <w:ind w:firstLine="708"/>
        <w:jc w:val="both"/>
        <w:rPr>
          <w:rFonts w:ascii="Garamond" w:hAnsi="Garamond"/>
          <w:sz w:val="24"/>
          <w:szCs w:val="24"/>
        </w:rPr>
      </w:pPr>
      <w:r>
        <w:rPr>
          <w:rFonts w:ascii="Garamond" w:hAnsi="Garamond"/>
          <w:sz w:val="24"/>
          <w:szCs w:val="24"/>
        </w:rPr>
        <w:t>A</w:t>
      </w:r>
      <w:r w:rsidR="007824C4">
        <w:rPr>
          <w:rFonts w:ascii="Garamond" w:hAnsi="Garamond"/>
          <w:sz w:val="24"/>
          <w:szCs w:val="24"/>
        </w:rPr>
        <w:t>ll’</w:t>
      </w:r>
      <w:r>
        <w:rPr>
          <w:rFonts w:ascii="Garamond" w:hAnsi="Garamond"/>
          <w:sz w:val="24"/>
          <w:szCs w:val="24"/>
        </w:rPr>
        <w:t>a</w:t>
      </w:r>
      <w:r w:rsidR="007824C4">
        <w:rPr>
          <w:rFonts w:ascii="Garamond" w:hAnsi="Garamond"/>
          <w:sz w:val="24"/>
          <w:szCs w:val="24"/>
        </w:rPr>
        <w:t>ll</w:t>
      </w:r>
      <w:r>
        <w:rPr>
          <w:rFonts w:ascii="Garamond" w:hAnsi="Garamond"/>
          <w:sz w:val="24"/>
          <w:szCs w:val="24"/>
        </w:rPr>
        <w:t xml:space="preserve">egato </w:t>
      </w:r>
      <w:r w:rsidR="007824C4">
        <w:rPr>
          <w:rFonts w:ascii="Garamond" w:hAnsi="Garamond"/>
          <w:sz w:val="24"/>
          <w:szCs w:val="24"/>
        </w:rPr>
        <w:t>B del DM 621/2024</w:t>
      </w:r>
      <w:r w:rsidR="007E63C1">
        <w:rPr>
          <w:rFonts w:ascii="Garamond" w:hAnsi="Garamond"/>
          <w:sz w:val="24"/>
          <w:szCs w:val="24"/>
        </w:rPr>
        <w:t>,</w:t>
      </w:r>
      <w:r w:rsidR="007E63C1" w:rsidRPr="007E63C1">
        <w:rPr>
          <w:rFonts w:ascii="Garamond" w:hAnsi="Garamond"/>
          <w:sz w:val="24"/>
          <w:szCs w:val="24"/>
        </w:rPr>
        <w:t xml:space="preserve"> </w:t>
      </w:r>
      <w:r w:rsidR="007E63C1">
        <w:rPr>
          <w:rFonts w:ascii="Garamond" w:hAnsi="Garamond"/>
          <w:sz w:val="24"/>
          <w:szCs w:val="24"/>
        </w:rPr>
        <w:t>concernente i titoli valutabili per l’accesso al percorso universitario e accademico di formazione iniziale e abilitazione dei docenti</w:t>
      </w:r>
      <w:r>
        <w:rPr>
          <w:rFonts w:ascii="Garamond" w:hAnsi="Garamond"/>
          <w:sz w:val="24"/>
          <w:szCs w:val="24"/>
        </w:rPr>
        <w:t xml:space="preserve">, è stabilito che per </w:t>
      </w:r>
      <w:r w:rsidR="007E63C1">
        <w:rPr>
          <w:rFonts w:ascii="Garamond" w:hAnsi="Garamond"/>
          <w:sz w:val="24"/>
          <w:szCs w:val="24"/>
        </w:rPr>
        <w:t>calcola</w:t>
      </w:r>
      <w:r>
        <w:rPr>
          <w:rFonts w:ascii="Garamond" w:hAnsi="Garamond"/>
          <w:sz w:val="24"/>
          <w:szCs w:val="24"/>
        </w:rPr>
        <w:t xml:space="preserve">re </w:t>
      </w:r>
      <w:r w:rsidR="007E63C1">
        <w:rPr>
          <w:rFonts w:ascii="Garamond" w:hAnsi="Garamond"/>
          <w:sz w:val="24"/>
          <w:szCs w:val="24"/>
        </w:rPr>
        <w:t>la</w:t>
      </w:r>
      <w:r>
        <w:rPr>
          <w:rFonts w:ascii="Garamond" w:hAnsi="Garamond"/>
          <w:sz w:val="24"/>
          <w:szCs w:val="24"/>
        </w:rPr>
        <w:t xml:space="preserve"> </w:t>
      </w:r>
      <w:r w:rsidR="007E63C1">
        <w:rPr>
          <w:rFonts w:ascii="Garamond" w:hAnsi="Garamond"/>
          <w:sz w:val="24"/>
          <w:szCs w:val="24"/>
        </w:rPr>
        <w:t>media degli esami</w:t>
      </w:r>
      <w:r>
        <w:rPr>
          <w:rFonts w:ascii="Garamond" w:hAnsi="Garamond"/>
          <w:sz w:val="24"/>
          <w:szCs w:val="24"/>
        </w:rPr>
        <w:t xml:space="preserve"> si deve far riferimento alla </w:t>
      </w:r>
      <w:r w:rsidR="00600B87">
        <w:rPr>
          <w:rFonts w:ascii="Garamond" w:hAnsi="Garamond"/>
          <w:sz w:val="24"/>
          <w:szCs w:val="24"/>
        </w:rPr>
        <w:t>“</w:t>
      </w:r>
      <w:r w:rsidR="00600B87" w:rsidRPr="00600B87">
        <w:rPr>
          <w:rFonts w:ascii="Garamond" w:hAnsi="Garamond"/>
          <w:i/>
          <w:sz w:val="24"/>
          <w:szCs w:val="24"/>
        </w:rPr>
        <w:t>Votazione media ponderata conseguita negli esami del corso di studi a ciclo unico o nel corso di laurea magistrale. Massimo 5 punti complessivi. Il risultato della media ponderata è arrotondato al valore superiore se il decimale è pari o superiore a 0,5. Punti 1 per ogni votazione media ponderata superiore a 25/30</w:t>
      </w:r>
      <w:r w:rsidR="007E63C1">
        <w:rPr>
          <w:rFonts w:ascii="Garamond" w:hAnsi="Garamond"/>
          <w:sz w:val="24"/>
          <w:szCs w:val="24"/>
        </w:rPr>
        <w:t>”.</w:t>
      </w:r>
    </w:p>
    <w:p w:rsidR="00600B87" w:rsidRDefault="007E63C1" w:rsidP="00EB513B">
      <w:pPr>
        <w:spacing w:line="360" w:lineRule="auto"/>
        <w:ind w:firstLine="708"/>
        <w:jc w:val="both"/>
        <w:rPr>
          <w:rFonts w:ascii="Garamond" w:hAnsi="Garamond"/>
          <w:sz w:val="24"/>
          <w:szCs w:val="24"/>
        </w:rPr>
      </w:pPr>
      <w:r>
        <w:rPr>
          <w:rFonts w:ascii="Garamond" w:hAnsi="Garamond"/>
          <w:sz w:val="24"/>
          <w:szCs w:val="24"/>
        </w:rPr>
        <w:t>Si</w:t>
      </w:r>
      <w:r w:rsidR="00600B87">
        <w:rPr>
          <w:rFonts w:ascii="Garamond" w:hAnsi="Garamond"/>
          <w:sz w:val="24"/>
          <w:szCs w:val="24"/>
        </w:rPr>
        <w:t xml:space="preserve"> chiarisce </w:t>
      </w:r>
      <w:r w:rsidR="00EB513B">
        <w:rPr>
          <w:rFonts w:ascii="Garamond" w:hAnsi="Garamond"/>
          <w:sz w:val="24"/>
          <w:szCs w:val="24"/>
        </w:rPr>
        <w:t>che l</w:t>
      </w:r>
      <w:r w:rsidR="00600B87">
        <w:rPr>
          <w:rFonts w:ascii="Garamond" w:hAnsi="Garamond"/>
          <w:sz w:val="24"/>
          <w:szCs w:val="24"/>
        </w:rPr>
        <w:t xml:space="preserve">’attribuzione </w:t>
      </w:r>
      <w:r w:rsidR="00EB513B">
        <w:rPr>
          <w:rFonts w:ascii="Garamond" w:hAnsi="Garamond"/>
          <w:sz w:val="24"/>
          <w:szCs w:val="24"/>
        </w:rPr>
        <w:t xml:space="preserve">del punteggio </w:t>
      </w:r>
      <w:r w:rsidR="00600B87">
        <w:rPr>
          <w:rFonts w:ascii="Garamond" w:hAnsi="Garamond"/>
          <w:sz w:val="24"/>
          <w:szCs w:val="24"/>
        </w:rPr>
        <w:t xml:space="preserve">è da </w:t>
      </w:r>
      <w:r w:rsidR="00EB513B">
        <w:rPr>
          <w:rFonts w:ascii="Garamond" w:hAnsi="Garamond"/>
          <w:sz w:val="24"/>
          <w:szCs w:val="24"/>
        </w:rPr>
        <w:t>assegnare</w:t>
      </w:r>
      <w:r w:rsidR="00600B87">
        <w:rPr>
          <w:rFonts w:ascii="Garamond" w:hAnsi="Garamond"/>
          <w:sz w:val="24"/>
          <w:szCs w:val="24"/>
        </w:rPr>
        <w:t xml:space="preserve"> nel seguente modo: </w:t>
      </w:r>
    </w:p>
    <w:p w:rsidR="00600B87" w:rsidRPr="00600B87" w:rsidRDefault="00600B87" w:rsidP="00600B87">
      <w:pPr>
        <w:autoSpaceDE w:val="0"/>
        <w:autoSpaceDN w:val="0"/>
        <w:adjustRightInd w:val="0"/>
        <w:spacing w:after="0" w:line="240" w:lineRule="auto"/>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544"/>
        <w:gridCol w:w="1544"/>
      </w:tblGrid>
      <w:tr w:rsidR="00600B87" w:rsidRPr="00600B87" w:rsidTr="00600B87">
        <w:trPr>
          <w:trHeight w:val="214"/>
          <w:jc w:val="center"/>
        </w:trPr>
        <w:tc>
          <w:tcPr>
            <w:tcW w:w="1544" w:type="dxa"/>
          </w:tcPr>
          <w:p w:rsidR="00600B87" w:rsidRPr="00600B87" w:rsidRDefault="00600B87" w:rsidP="00600B87">
            <w:pPr>
              <w:autoSpaceDE w:val="0"/>
              <w:autoSpaceDN w:val="0"/>
              <w:adjustRightInd w:val="0"/>
              <w:spacing w:after="0" w:line="240" w:lineRule="auto"/>
              <w:jc w:val="center"/>
              <w:rPr>
                <w:rFonts w:ascii="Garamond" w:hAnsi="Garamond" w:cs="Times New Roman"/>
                <w:b/>
                <w:color w:val="000000"/>
                <w:sz w:val="24"/>
                <w:szCs w:val="20"/>
              </w:rPr>
            </w:pPr>
            <w:r w:rsidRPr="00600B87">
              <w:rPr>
                <w:rFonts w:ascii="Garamond" w:hAnsi="Garamond" w:cs="Times New Roman"/>
                <w:b/>
                <w:color w:val="000000"/>
                <w:sz w:val="24"/>
                <w:szCs w:val="20"/>
              </w:rPr>
              <w:t>Media</w:t>
            </w:r>
          </w:p>
        </w:tc>
        <w:tc>
          <w:tcPr>
            <w:tcW w:w="1544" w:type="dxa"/>
          </w:tcPr>
          <w:p w:rsidR="00600B87" w:rsidRPr="00600B87" w:rsidRDefault="00600B87" w:rsidP="00600B87">
            <w:pPr>
              <w:autoSpaceDE w:val="0"/>
              <w:autoSpaceDN w:val="0"/>
              <w:adjustRightInd w:val="0"/>
              <w:spacing w:after="0" w:line="240" w:lineRule="auto"/>
              <w:jc w:val="center"/>
              <w:rPr>
                <w:rFonts w:ascii="Garamond" w:hAnsi="Garamond" w:cs="Times New Roman"/>
                <w:b/>
                <w:color w:val="000000"/>
                <w:sz w:val="24"/>
                <w:szCs w:val="20"/>
              </w:rPr>
            </w:pPr>
            <w:proofErr w:type="spellStart"/>
            <w:r w:rsidRPr="00600B87">
              <w:rPr>
                <w:rFonts w:ascii="Garamond" w:hAnsi="Garamond" w:cs="Times New Roman"/>
                <w:b/>
                <w:color w:val="000000"/>
                <w:sz w:val="24"/>
                <w:szCs w:val="20"/>
              </w:rPr>
              <w:t>Arrot</w:t>
            </w:r>
            <w:proofErr w:type="spellEnd"/>
            <w:r w:rsidRPr="00600B87">
              <w:rPr>
                <w:rFonts w:ascii="Garamond" w:hAnsi="Garamond" w:cs="Times New Roman"/>
                <w:b/>
                <w:color w:val="000000"/>
                <w:sz w:val="24"/>
                <w:szCs w:val="20"/>
              </w:rPr>
              <w:t>.</w:t>
            </w:r>
          </w:p>
        </w:tc>
        <w:tc>
          <w:tcPr>
            <w:tcW w:w="1544" w:type="dxa"/>
          </w:tcPr>
          <w:p w:rsidR="00600B87" w:rsidRPr="00600B87" w:rsidRDefault="00600B87" w:rsidP="00600B87">
            <w:pPr>
              <w:autoSpaceDE w:val="0"/>
              <w:autoSpaceDN w:val="0"/>
              <w:adjustRightInd w:val="0"/>
              <w:spacing w:after="0" w:line="240" w:lineRule="auto"/>
              <w:jc w:val="center"/>
              <w:rPr>
                <w:rFonts w:ascii="Garamond" w:hAnsi="Garamond" w:cs="Times New Roman"/>
                <w:b/>
                <w:color w:val="000000"/>
                <w:sz w:val="24"/>
                <w:szCs w:val="20"/>
              </w:rPr>
            </w:pPr>
            <w:r w:rsidRPr="00600B87">
              <w:rPr>
                <w:rFonts w:ascii="Garamond" w:hAnsi="Garamond" w:cs="Times New Roman"/>
                <w:b/>
                <w:color w:val="000000"/>
                <w:sz w:val="24"/>
                <w:szCs w:val="20"/>
              </w:rPr>
              <w:t>Punti</w:t>
            </w:r>
          </w:p>
        </w:tc>
      </w:tr>
      <w:tr w:rsidR="00600B87" w:rsidRPr="00600B87" w:rsidTr="00600B87">
        <w:trPr>
          <w:trHeight w:val="214"/>
          <w:jc w:val="center"/>
        </w:trPr>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25,50-26,49</w:t>
            </w: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26</w:t>
            </w: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1</w:t>
            </w:r>
          </w:p>
        </w:tc>
      </w:tr>
      <w:tr w:rsidR="00600B87" w:rsidRPr="00600B87" w:rsidTr="00600B87">
        <w:trPr>
          <w:trHeight w:val="214"/>
          <w:jc w:val="center"/>
        </w:trPr>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26,50-27,49</w:t>
            </w: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27</w:t>
            </w: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w:t>
            </w:r>
          </w:p>
        </w:tc>
      </w:tr>
      <w:tr w:rsidR="00600B87" w:rsidRPr="00600B87" w:rsidTr="00600B87">
        <w:trPr>
          <w:trHeight w:val="214"/>
          <w:jc w:val="center"/>
        </w:trPr>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27,50-28,49</w:t>
            </w: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28</w:t>
            </w: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3</w:t>
            </w:r>
          </w:p>
        </w:tc>
      </w:tr>
      <w:tr w:rsidR="00600B87" w:rsidRPr="00600B87" w:rsidTr="00600B87">
        <w:trPr>
          <w:trHeight w:val="214"/>
          <w:jc w:val="center"/>
        </w:trPr>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28,50-29,49</w:t>
            </w: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29</w:t>
            </w: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4</w:t>
            </w:r>
          </w:p>
        </w:tc>
      </w:tr>
      <w:tr w:rsidR="00600B87" w:rsidRPr="00600B87" w:rsidTr="00600B87">
        <w:trPr>
          <w:trHeight w:val="214"/>
          <w:jc w:val="center"/>
        </w:trPr>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29,50-30,00</w:t>
            </w: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30</w:t>
            </w:r>
          </w:p>
        </w:tc>
        <w:tc>
          <w:tcPr>
            <w:tcW w:w="1544" w:type="dxa"/>
          </w:tcPr>
          <w:p w:rsid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p>
          <w:p w:rsidR="00600B87" w:rsidRPr="00600B87" w:rsidRDefault="00600B87" w:rsidP="00600B87">
            <w:pPr>
              <w:autoSpaceDE w:val="0"/>
              <w:autoSpaceDN w:val="0"/>
              <w:adjustRightInd w:val="0"/>
              <w:spacing w:after="0" w:line="240" w:lineRule="auto"/>
              <w:jc w:val="center"/>
              <w:rPr>
                <w:rFonts w:ascii="Garamond" w:hAnsi="Garamond" w:cs="Times New Roman"/>
                <w:color w:val="000000"/>
                <w:sz w:val="24"/>
                <w:szCs w:val="20"/>
              </w:rPr>
            </w:pPr>
            <w:r w:rsidRPr="00600B87">
              <w:rPr>
                <w:rFonts w:ascii="Garamond" w:hAnsi="Garamond" w:cs="Times New Roman"/>
                <w:color w:val="000000"/>
                <w:sz w:val="24"/>
                <w:szCs w:val="20"/>
              </w:rPr>
              <w:t>5</w:t>
            </w:r>
          </w:p>
        </w:tc>
      </w:tr>
    </w:tbl>
    <w:p w:rsidR="0004707D" w:rsidRDefault="00600B87" w:rsidP="00862BE1">
      <w:pPr>
        <w:jc w:val="both"/>
        <w:rPr>
          <w:rFonts w:ascii="Garamond" w:hAnsi="Garamond"/>
          <w:sz w:val="24"/>
          <w:szCs w:val="24"/>
        </w:rPr>
      </w:pPr>
      <w:r>
        <w:rPr>
          <w:rFonts w:ascii="Garamond" w:hAnsi="Garamond"/>
          <w:sz w:val="24"/>
          <w:szCs w:val="24"/>
        </w:rPr>
        <w:t xml:space="preserve"> </w:t>
      </w:r>
    </w:p>
    <w:p w:rsidR="007E63C1" w:rsidRDefault="0004707D" w:rsidP="0004707D">
      <w:pPr>
        <w:spacing w:line="360" w:lineRule="auto"/>
        <w:jc w:val="both"/>
        <w:rPr>
          <w:rFonts w:ascii="Garamond" w:hAnsi="Garamond"/>
          <w:sz w:val="24"/>
          <w:szCs w:val="24"/>
        </w:rPr>
      </w:pPr>
      <w:r>
        <w:rPr>
          <w:rFonts w:ascii="Garamond" w:hAnsi="Garamond"/>
          <w:sz w:val="24"/>
          <w:szCs w:val="24"/>
        </w:rPr>
        <w:lastRenderedPageBreak/>
        <w:tab/>
      </w:r>
      <w:r w:rsidR="007E63C1">
        <w:rPr>
          <w:rFonts w:ascii="Garamond" w:hAnsi="Garamond"/>
          <w:sz w:val="24"/>
          <w:szCs w:val="24"/>
        </w:rPr>
        <w:t>In riferimento all’allegato A del DM 620/2024 e all’allegato B del DM 621/2024,</w:t>
      </w:r>
      <w:r w:rsidR="007E63C1" w:rsidRPr="007E63C1">
        <w:rPr>
          <w:rFonts w:ascii="Garamond" w:hAnsi="Garamond"/>
          <w:sz w:val="24"/>
          <w:szCs w:val="24"/>
        </w:rPr>
        <w:t xml:space="preserve"> </w:t>
      </w:r>
      <w:r w:rsidR="007E63C1">
        <w:rPr>
          <w:rFonts w:ascii="Garamond" w:hAnsi="Garamond"/>
          <w:sz w:val="24"/>
          <w:szCs w:val="24"/>
        </w:rPr>
        <w:t>concernente i titoli valutabili per l’accesso al percorso universitario e accademico di formazione iniziale e abilitazione dei docent</w:t>
      </w:r>
      <w:r w:rsidR="00B57960">
        <w:rPr>
          <w:rFonts w:ascii="Garamond" w:hAnsi="Garamond"/>
          <w:sz w:val="24"/>
          <w:szCs w:val="24"/>
        </w:rPr>
        <w:t xml:space="preserve">i, è stabilito che per il calcolo della </w:t>
      </w:r>
      <w:r w:rsidR="007E63C1">
        <w:rPr>
          <w:rFonts w:ascii="Garamond" w:hAnsi="Garamond"/>
          <w:sz w:val="24"/>
          <w:szCs w:val="24"/>
        </w:rPr>
        <w:t>votazione del titolo di accesso alla specifica classe di concorso</w:t>
      </w:r>
      <w:r w:rsidR="00B57960">
        <w:rPr>
          <w:rFonts w:ascii="Garamond" w:hAnsi="Garamond"/>
          <w:sz w:val="24"/>
          <w:szCs w:val="24"/>
        </w:rPr>
        <w:t xml:space="preserve"> occorre far riferimento alla </w:t>
      </w:r>
      <w:r>
        <w:rPr>
          <w:rFonts w:ascii="Garamond" w:hAnsi="Garamond"/>
          <w:sz w:val="24"/>
          <w:szCs w:val="24"/>
        </w:rPr>
        <w:t>“</w:t>
      </w:r>
      <w:r w:rsidRPr="0004707D">
        <w:rPr>
          <w:rFonts w:ascii="Garamond" w:hAnsi="Garamond"/>
          <w:i/>
          <w:sz w:val="24"/>
          <w:szCs w:val="24"/>
        </w:rPr>
        <w:t>Votazione conseguita nel titolo di accesso alla specifica classe di concorso. Diploma di laurea di vecchio ordinamento, laurea specialistica, laurea magistrale, diploma accademico di vecchio ordinamento (purché in possesso del titolo di scuola secondaria superiore), diploma accademico di secondo livello, diploma di scuola superiore (per gli ITP)</w:t>
      </w:r>
      <w:r>
        <w:rPr>
          <w:rFonts w:ascii="Garamond" w:hAnsi="Garamond"/>
          <w:i/>
          <w:sz w:val="24"/>
          <w:szCs w:val="24"/>
        </w:rPr>
        <w:t xml:space="preserve">. </w:t>
      </w:r>
      <w:r w:rsidRPr="0004707D">
        <w:rPr>
          <w:rFonts w:ascii="Garamond" w:hAnsi="Garamond"/>
          <w:i/>
          <w:sz w:val="24"/>
          <w:szCs w:val="24"/>
        </w:rPr>
        <w:t>Le votazioni dei titoli di accesso non espresse in centesimi sono riportate a 100. Le eventuali frazioni di voto sono arrotondate per eccesso al voto superiore solo se pari superiori a 0,50.</w:t>
      </w:r>
      <w:r>
        <w:rPr>
          <w:rFonts w:ascii="Garamond" w:hAnsi="Garamond"/>
          <w:i/>
          <w:sz w:val="24"/>
          <w:szCs w:val="24"/>
        </w:rPr>
        <w:t xml:space="preserve"> </w:t>
      </w:r>
      <w:r w:rsidRPr="0004707D">
        <w:rPr>
          <w:rFonts w:ascii="Garamond" w:hAnsi="Garamond"/>
          <w:i/>
          <w:sz w:val="24"/>
          <w:szCs w:val="24"/>
        </w:rPr>
        <w:t>Punti 1 per ogni votazione superiore a 95/100 e ulteriori 2 punti in caso di attribuzione della lode</w:t>
      </w:r>
      <w:r>
        <w:rPr>
          <w:rFonts w:ascii="Garamond" w:hAnsi="Garamond"/>
          <w:sz w:val="24"/>
          <w:szCs w:val="24"/>
        </w:rPr>
        <w:t>”</w:t>
      </w:r>
      <w:r w:rsidR="007E63C1">
        <w:rPr>
          <w:rFonts w:ascii="Garamond" w:hAnsi="Garamond"/>
          <w:sz w:val="24"/>
          <w:szCs w:val="24"/>
        </w:rPr>
        <w:t>.</w:t>
      </w:r>
    </w:p>
    <w:p w:rsidR="0004707D" w:rsidRDefault="007E63C1" w:rsidP="0004707D">
      <w:pPr>
        <w:spacing w:line="360" w:lineRule="auto"/>
        <w:jc w:val="both"/>
        <w:rPr>
          <w:rFonts w:ascii="Garamond" w:hAnsi="Garamond"/>
          <w:sz w:val="24"/>
          <w:szCs w:val="24"/>
        </w:rPr>
      </w:pPr>
      <w:r>
        <w:rPr>
          <w:rFonts w:ascii="Garamond" w:hAnsi="Garamond"/>
          <w:sz w:val="24"/>
          <w:szCs w:val="24"/>
        </w:rPr>
        <w:t>Si chiarisce che la corretta interpretazione è 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237"/>
        <w:gridCol w:w="1237"/>
        <w:gridCol w:w="1237"/>
      </w:tblGrid>
      <w:tr w:rsidR="005351AD" w:rsidRPr="005351AD" w:rsidTr="005351AD">
        <w:trPr>
          <w:trHeight w:val="299"/>
          <w:jc w:val="center"/>
        </w:trPr>
        <w:tc>
          <w:tcPr>
            <w:tcW w:w="1237" w:type="dxa"/>
          </w:tcPr>
          <w:p w:rsidR="005351AD" w:rsidRPr="005351AD" w:rsidRDefault="005351AD" w:rsidP="005351AD">
            <w:pPr>
              <w:autoSpaceDE w:val="0"/>
              <w:autoSpaceDN w:val="0"/>
              <w:adjustRightInd w:val="0"/>
              <w:spacing w:after="0" w:line="240" w:lineRule="auto"/>
              <w:jc w:val="center"/>
              <w:rPr>
                <w:rFonts w:ascii="Garamond" w:hAnsi="Garamond" w:cs="Times New Roman"/>
                <w:b/>
                <w:color w:val="000000"/>
                <w:sz w:val="24"/>
                <w:szCs w:val="24"/>
              </w:rPr>
            </w:pPr>
            <w:r w:rsidRPr="005351AD">
              <w:rPr>
                <w:rFonts w:ascii="Garamond" w:hAnsi="Garamond" w:cs="Times New Roman"/>
                <w:b/>
                <w:color w:val="000000"/>
                <w:sz w:val="24"/>
                <w:szCs w:val="24"/>
              </w:rPr>
              <w:t>Voto/110</w:t>
            </w:r>
          </w:p>
        </w:tc>
        <w:tc>
          <w:tcPr>
            <w:tcW w:w="1237" w:type="dxa"/>
          </w:tcPr>
          <w:p w:rsidR="005351AD" w:rsidRPr="005351AD" w:rsidRDefault="005351AD" w:rsidP="005351AD">
            <w:pPr>
              <w:autoSpaceDE w:val="0"/>
              <w:autoSpaceDN w:val="0"/>
              <w:adjustRightInd w:val="0"/>
              <w:spacing w:after="0" w:line="240" w:lineRule="auto"/>
              <w:jc w:val="center"/>
              <w:rPr>
                <w:rFonts w:ascii="Garamond" w:hAnsi="Garamond" w:cs="Times New Roman"/>
                <w:b/>
                <w:color w:val="000000"/>
                <w:sz w:val="24"/>
                <w:szCs w:val="24"/>
              </w:rPr>
            </w:pPr>
            <w:r w:rsidRPr="005351AD">
              <w:rPr>
                <w:rFonts w:ascii="Garamond" w:hAnsi="Garamond" w:cs="Times New Roman"/>
                <w:b/>
                <w:color w:val="000000"/>
                <w:sz w:val="24"/>
                <w:szCs w:val="24"/>
              </w:rPr>
              <w:t>Voto/100</w:t>
            </w:r>
          </w:p>
        </w:tc>
        <w:tc>
          <w:tcPr>
            <w:tcW w:w="1237" w:type="dxa"/>
          </w:tcPr>
          <w:p w:rsidR="005351AD" w:rsidRPr="005351AD" w:rsidRDefault="005351AD" w:rsidP="005351AD">
            <w:pPr>
              <w:autoSpaceDE w:val="0"/>
              <w:autoSpaceDN w:val="0"/>
              <w:adjustRightInd w:val="0"/>
              <w:spacing w:after="0" w:line="240" w:lineRule="auto"/>
              <w:jc w:val="center"/>
              <w:rPr>
                <w:rFonts w:ascii="Garamond" w:hAnsi="Garamond" w:cs="Times New Roman"/>
                <w:b/>
                <w:color w:val="000000"/>
                <w:sz w:val="24"/>
                <w:szCs w:val="24"/>
              </w:rPr>
            </w:pPr>
            <w:proofErr w:type="spellStart"/>
            <w:r w:rsidRPr="005351AD">
              <w:rPr>
                <w:rFonts w:ascii="Garamond" w:hAnsi="Garamond" w:cs="Times New Roman"/>
                <w:b/>
                <w:color w:val="000000"/>
                <w:sz w:val="24"/>
                <w:szCs w:val="24"/>
              </w:rPr>
              <w:t>Arrot</w:t>
            </w:r>
            <w:proofErr w:type="spellEnd"/>
            <w:r w:rsidRPr="005351AD">
              <w:rPr>
                <w:rFonts w:ascii="Garamond" w:hAnsi="Garamond" w:cs="Times New Roman"/>
                <w:b/>
                <w:color w:val="000000"/>
                <w:sz w:val="24"/>
                <w:szCs w:val="24"/>
              </w:rPr>
              <w:t>.</w:t>
            </w:r>
          </w:p>
        </w:tc>
        <w:tc>
          <w:tcPr>
            <w:tcW w:w="1237" w:type="dxa"/>
          </w:tcPr>
          <w:p w:rsidR="005351AD" w:rsidRPr="005351AD" w:rsidRDefault="005351AD" w:rsidP="005351AD">
            <w:pPr>
              <w:autoSpaceDE w:val="0"/>
              <w:autoSpaceDN w:val="0"/>
              <w:adjustRightInd w:val="0"/>
              <w:spacing w:after="0" w:line="240" w:lineRule="auto"/>
              <w:jc w:val="center"/>
              <w:rPr>
                <w:rFonts w:ascii="Garamond" w:hAnsi="Garamond" w:cs="Times New Roman"/>
                <w:b/>
                <w:color w:val="000000"/>
                <w:sz w:val="24"/>
                <w:szCs w:val="24"/>
              </w:rPr>
            </w:pPr>
            <w:r w:rsidRPr="005351AD">
              <w:rPr>
                <w:rFonts w:ascii="Garamond" w:hAnsi="Garamond" w:cs="Times New Roman"/>
                <w:b/>
                <w:color w:val="000000"/>
                <w:sz w:val="24"/>
                <w:szCs w:val="24"/>
              </w:rPr>
              <w:t>Punti</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105</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95,45</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95</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0</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106</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96,36</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96</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107</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97,27</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97</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2</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108</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98,18</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98</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3</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109</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99,09</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99</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4</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110</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100,00</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100</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5</w:t>
            </w:r>
          </w:p>
        </w:tc>
      </w:tr>
      <w:tr w:rsidR="005351AD" w:rsidRPr="005351AD" w:rsidTr="005351AD">
        <w:trPr>
          <w:trHeight w:val="161"/>
          <w:jc w:val="center"/>
        </w:trPr>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110 lode</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100,00</w:t>
            </w: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100</w:t>
            </w:r>
          </w:p>
        </w:tc>
        <w:tc>
          <w:tcPr>
            <w:tcW w:w="1237" w:type="dxa"/>
          </w:tcPr>
          <w:p w:rsid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p>
          <w:p w:rsidR="005351AD" w:rsidRPr="005351AD" w:rsidRDefault="005351AD" w:rsidP="005351AD">
            <w:pPr>
              <w:autoSpaceDE w:val="0"/>
              <w:autoSpaceDN w:val="0"/>
              <w:adjustRightInd w:val="0"/>
              <w:spacing w:after="0" w:line="240" w:lineRule="auto"/>
              <w:jc w:val="center"/>
              <w:rPr>
                <w:rFonts w:ascii="Garamond" w:hAnsi="Garamond" w:cs="Times New Roman"/>
                <w:color w:val="000000"/>
                <w:sz w:val="24"/>
                <w:szCs w:val="24"/>
              </w:rPr>
            </w:pPr>
            <w:r w:rsidRPr="005351AD">
              <w:rPr>
                <w:rFonts w:ascii="Garamond" w:hAnsi="Garamond" w:cs="Times New Roman"/>
                <w:color w:val="000000"/>
                <w:sz w:val="24"/>
                <w:szCs w:val="24"/>
              </w:rPr>
              <w:t>7</w:t>
            </w:r>
          </w:p>
        </w:tc>
      </w:tr>
    </w:tbl>
    <w:p w:rsidR="005351AD" w:rsidRDefault="005351AD" w:rsidP="0004707D">
      <w:pPr>
        <w:spacing w:line="360" w:lineRule="auto"/>
        <w:jc w:val="both"/>
        <w:rPr>
          <w:rFonts w:ascii="Garamond" w:hAnsi="Garamond"/>
          <w:sz w:val="24"/>
          <w:szCs w:val="24"/>
        </w:rPr>
      </w:pPr>
    </w:p>
    <w:p w:rsidR="000A3E98" w:rsidRDefault="000A3E98" w:rsidP="0004707D">
      <w:pPr>
        <w:spacing w:line="360" w:lineRule="auto"/>
        <w:jc w:val="both"/>
        <w:rPr>
          <w:rFonts w:ascii="Garamond" w:hAnsi="Garamond"/>
          <w:sz w:val="24"/>
          <w:szCs w:val="24"/>
        </w:rPr>
      </w:pPr>
    </w:p>
    <w:p w:rsidR="00425061" w:rsidRDefault="00425061" w:rsidP="0004707D">
      <w:pPr>
        <w:spacing w:line="360" w:lineRule="auto"/>
        <w:jc w:val="both"/>
        <w:rPr>
          <w:rFonts w:ascii="Garamond" w:hAnsi="Garamond"/>
          <w:sz w:val="24"/>
          <w:szCs w:val="24"/>
        </w:rPr>
      </w:pPr>
      <w:r>
        <w:rPr>
          <w:rFonts w:ascii="Garamond" w:hAnsi="Garamond"/>
          <w:sz w:val="24"/>
          <w:szCs w:val="24"/>
        </w:rPr>
        <w:lastRenderedPageBreak/>
        <w:tab/>
        <w:t>Infine, in merito al chiarimento sul punteggio finale da attribuire allo studente abilitato, lo stesso punteggio dovrà essere espresso in decimi, calcolato sulla media aritmetica delle due prove, fermo restando il superamento d</w:t>
      </w:r>
      <w:r w:rsidR="007E63C1">
        <w:rPr>
          <w:rFonts w:ascii="Garamond" w:hAnsi="Garamond"/>
          <w:sz w:val="24"/>
          <w:szCs w:val="24"/>
        </w:rPr>
        <w:t xml:space="preserve">elle stesse </w:t>
      </w:r>
      <w:r>
        <w:rPr>
          <w:rFonts w:ascii="Garamond" w:hAnsi="Garamond"/>
          <w:sz w:val="24"/>
          <w:szCs w:val="24"/>
        </w:rPr>
        <w:t xml:space="preserve">con una votazione minima di 7/10.  </w:t>
      </w:r>
    </w:p>
    <w:p w:rsidR="000A3E98" w:rsidRPr="0004707D" w:rsidRDefault="000A3E98" w:rsidP="0004707D">
      <w:pPr>
        <w:spacing w:line="360" w:lineRule="auto"/>
        <w:jc w:val="both"/>
        <w:rPr>
          <w:rFonts w:ascii="Garamond" w:hAnsi="Garamond"/>
          <w:sz w:val="24"/>
          <w:szCs w:val="24"/>
        </w:rPr>
      </w:pPr>
    </w:p>
    <w:sectPr w:rsidR="000A3E98" w:rsidRPr="0004707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51" w:rsidRDefault="00806B51" w:rsidP="00A84DBA">
      <w:pPr>
        <w:spacing w:after="0" w:line="240" w:lineRule="auto"/>
      </w:pPr>
      <w:r>
        <w:separator/>
      </w:r>
    </w:p>
  </w:endnote>
  <w:endnote w:type="continuationSeparator" w:id="0">
    <w:p w:rsidR="00806B51" w:rsidRDefault="00806B51" w:rsidP="00A8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auto"/>
    <w:pitch w:val="default"/>
  </w:font>
  <w:font w:name="Kunstler Script">
    <w:panose1 w:val="030304020206070D0D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B27" w:rsidRPr="00862BE1" w:rsidRDefault="00551B27" w:rsidP="00551B27">
    <w:pPr>
      <w:spacing w:after="0" w:line="240" w:lineRule="auto"/>
      <w:jc w:val="center"/>
      <w:rPr>
        <w:rFonts w:ascii="Garamond" w:eastAsia="Calibri" w:hAnsi="Garamond" w:cs="Times New Roman"/>
        <w:sz w:val="20"/>
        <w:szCs w:val="20"/>
      </w:rPr>
    </w:pPr>
    <w:r w:rsidRPr="00862BE1">
      <w:rPr>
        <w:rFonts w:ascii="Garamond" w:eastAsia="Calibri" w:hAnsi="Garamond" w:cs="Times New Roman"/>
        <w:sz w:val="20"/>
        <w:szCs w:val="20"/>
      </w:rPr>
      <w:t>Dirigente: dott. Alessandro Nicodemi</w:t>
    </w:r>
  </w:p>
  <w:p w:rsidR="00551B27" w:rsidRPr="00862BE1" w:rsidRDefault="00551B27" w:rsidP="00551B27">
    <w:pPr>
      <w:spacing w:after="0" w:line="240" w:lineRule="auto"/>
      <w:jc w:val="center"/>
      <w:rPr>
        <w:rFonts w:ascii="Garamond" w:eastAsia="Calibri" w:hAnsi="Garamond" w:cs="Times New Roman"/>
        <w:sz w:val="20"/>
        <w:szCs w:val="20"/>
      </w:rPr>
    </w:pPr>
    <w:r w:rsidRPr="00862BE1">
      <w:rPr>
        <w:rFonts w:ascii="Garamond" w:eastAsia="Calibri" w:hAnsi="Garamond" w:cs="Times New Roman"/>
        <w:sz w:val="20"/>
        <w:szCs w:val="20"/>
      </w:rPr>
      <w:t xml:space="preserve">Ufficio III </w:t>
    </w:r>
    <w:r w:rsidRPr="00862BE1">
      <w:rPr>
        <w:rFonts w:ascii="Garamond" w:eastAsia="Calibri" w:hAnsi="Garamond" w:cs="Times New Roman"/>
        <w:i/>
        <w:sz w:val="20"/>
        <w:szCs w:val="20"/>
      </w:rPr>
      <w:t>“Accesso programmato e procedure di valutazione dei titoli di studio universitari”</w:t>
    </w:r>
  </w:p>
  <w:p w:rsidR="00551B27" w:rsidRPr="00862BE1" w:rsidRDefault="00551B27" w:rsidP="00551B27">
    <w:pPr>
      <w:tabs>
        <w:tab w:val="center" w:pos="4819"/>
        <w:tab w:val="right" w:pos="9638"/>
      </w:tabs>
      <w:spacing w:after="0" w:line="240" w:lineRule="auto"/>
      <w:jc w:val="center"/>
      <w:rPr>
        <w:rFonts w:ascii="Garamond" w:eastAsia="Calibri" w:hAnsi="Garamond" w:cs="Times New Roman"/>
        <w:sz w:val="20"/>
        <w:szCs w:val="20"/>
      </w:rPr>
    </w:pPr>
    <w:r w:rsidRPr="00862BE1">
      <w:rPr>
        <w:rFonts w:ascii="Garamond" w:eastAsia="Calibri" w:hAnsi="Garamond" w:cs="Times New Roman"/>
        <w:sz w:val="20"/>
        <w:szCs w:val="20"/>
      </w:rPr>
      <w:t>Largo Antonio Ruberti 1 – 00153 Roma</w:t>
    </w:r>
  </w:p>
  <w:p w:rsidR="00551B27" w:rsidRPr="00862BE1" w:rsidRDefault="00551B27" w:rsidP="00551B27">
    <w:pPr>
      <w:tabs>
        <w:tab w:val="center" w:pos="4819"/>
        <w:tab w:val="right" w:pos="9638"/>
      </w:tabs>
      <w:spacing w:after="0" w:line="240" w:lineRule="auto"/>
      <w:jc w:val="center"/>
      <w:rPr>
        <w:rFonts w:ascii="Garamond" w:eastAsia="Calibri" w:hAnsi="Garamond" w:cs="Times New Roman"/>
        <w:sz w:val="20"/>
        <w:szCs w:val="20"/>
      </w:rPr>
    </w:pPr>
    <w:r w:rsidRPr="00862BE1">
      <w:rPr>
        <w:rFonts w:ascii="Garamond" w:eastAsia="Calibri" w:hAnsi="Garamond" w:cs="Times New Roman"/>
        <w:sz w:val="20"/>
        <w:szCs w:val="20"/>
      </w:rPr>
      <w:t xml:space="preserve">PEC: </w:t>
    </w:r>
    <w:hyperlink r:id="rId1" w:history="1">
      <w:r w:rsidRPr="00862BE1">
        <w:rPr>
          <w:rFonts w:ascii="Garamond" w:eastAsia="Calibri" w:hAnsi="Garamond" w:cs="Times New Roman"/>
          <w:color w:val="0563C1"/>
          <w:sz w:val="24"/>
          <w:szCs w:val="24"/>
          <w:u w:val="single"/>
        </w:rPr>
        <w:t>dgordinamenti@pec.mur.gov.it</w:t>
      </w:r>
    </w:hyperlink>
    <w:r w:rsidRPr="00862BE1">
      <w:rPr>
        <w:rFonts w:ascii="Garamond" w:eastAsia="Calibri" w:hAnsi="Garamond" w:cs="Times New Roman"/>
        <w:sz w:val="20"/>
        <w:szCs w:val="20"/>
      </w:rPr>
      <w:t xml:space="preserve"> – PEO: DGOrdinamentiUfficio3@mur.gov.it</w:t>
    </w:r>
  </w:p>
  <w:p w:rsidR="00A84DBA" w:rsidRDefault="00A84D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51" w:rsidRDefault="00806B51" w:rsidP="00A84DBA">
      <w:pPr>
        <w:spacing w:after="0" w:line="240" w:lineRule="auto"/>
      </w:pPr>
      <w:r>
        <w:separator/>
      </w:r>
    </w:p>
  </w:footnote>
  <w:footnote w:type="continuationSeparator" w:id="0">
    <w:p w:rsidR="00806B51" w:rsidRDefault="00806B51" w:rsidP="00A8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DBA" w:rsidRPr="0035115E" w:rsidRDefault="00A84DBA" w:rsidP="00A84DBA">
    <w:pPr>
      <w:keepNext/>
      <w:spacing w:after="0" w:line="240" w:lineRule="auto"/>
      <w:jc w:val="center"/>
      <w:outlineLvl w:val="0"/>
      <w:rPr>
        <w:rFonts w:ascii="Times New Roman" w:eastAsia="Times New Roman" w:hAnsi="Times New Roman" w:cs="Times New Roman"/>
        <w:bCs/>
        <w:i/>
        <w:color w:val="000000"/>
        <w:sz w:val="40"/>
        <w:szCs w:val="40"/>
        <w:lang w:eastAsia="it-IT"/>
      </w:rPr>
    </w:pPr>
    <w:r>
      <w:rPr>
        <w:rFonts w:ascii="English111 Vivace BT" w:eastAsia="Times New Roman" w:hAnsi="English111 Vivace BT" w:cs="Times New Roman"/>
        <w:b/>
        <w:bCs/>
        <w:noProof/>
        <w:color w:val="000000"/>
        <w:sz w:val="16"/>
        <w:szCs w:val="24"/>
        <w:lang w:eastAsia="it-IT"/>
      </w:rPr>
      <w:drawing>
        <wp:inline distT="0" distB="0" distL="0" distR="0" wp14:anchorId="1D961B00" wp14:editId="22968BD8">
          <wp:extent cx="723900" cy="723900"/>
          <wp:effectExtent l="0" t="0" r="0" b="0"/>
          <wp:docPr id="1" name="Immagine 1" descr="Senza 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nome"/>
                  <pic:cNvPicPr>
                    <a:picLocks noChangeAspect="1" noChangeArrowheads="1"/>
                  </pic:cNvPicPr>
                </pic:nvPicPr>
                <pic:blipFill>
                  <a:blip r:embed="rId1">
                    <a:lum bright="6000" contrast="36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A84DBA" w:rsidRDefault="00A84DBA" w:rsidP="00A84DBA">
    <w:pPr>
      <w:keepNext/>
      <w:spacing w:after="0" w:line="240" w:lineRule="auto"/>
      <w:jc w:val="center"/>
      <w:outlineLvl w:val="0"/>
      <w:rPr>
        <w:rFonts w:ascii="Kunstler Script" w:eastAsia="Times New Roman" w:hAnsi="Kunstler Script" w:cs="Times New Roman"/>
        <w:bCs/>
        <w:i/>
        <w:color w:val="000000"/>
        <w:sz w:val="64"/>
        <w:szCs w:val="64"/>
        <w:lang w:eastAsia="it-IT"/>
      </w:rPr>
    </w:pPr>
    <w:r w:rsidRPr="0035115E">
      <w:rPr>
        <w:rFonts w:ascii="Kunstler Script" w:eastAsia="Times New Roman" w:hAnsi="Kunstler Script" w:cs="Times New Roman"/>
        <w:bCs/>
        <w:i/>
        <w:color w:val="000000"/>
        <w:sz w:val="64"/>
        <w:szCs w:val="64"/>
        <w:lang w:eastAsia="it-IT"/>
      </w:rPr>
      <w:t>Ministero dell’Università e della Ricerca</w:t>
    </w:r>
  </w:p>
  <w:p w:rsidR="00A84DBA" w:rsidRPr="006812E8" w:rsidRDefault="00A84DBA" w:rsidP="00A84DBA">
    <w:pPr>
      <w:tabs>
        <w:tab w:val="center" w:pos="4819"/>
        <w:tab w:val="right" w:pos="9638"/>
      </w:tabs>
      <w:spacing w:after="0" w:line="240" w:lineRule="auto"/>
      <w:jc w:val="center"/>
      <w:rPr>
        <w:rFonts w:ascii="Palatino Linotype" w:eastAsia="Calibri" w:hAnsi="Palatino Linotype" w:cs="Tahoma"/>
        <w:i/>
        <w:iCs/>
        <w:sz w:val="24"/>
        <w:szCs w:val="24"/>
        <w:lang w:eastAsia="it-IT"/>
      </w:rPr>
    </w:pPr>
    <w:r w:rsidRPr="006812E8">
      <w:rPr>
        <w:rFonts w:ascii="Palatino Linotype" w:eastAsia="Calibri" w:hAnsi="Palatino Linotype" w:cs="Tahoma"/>
        <w:i/>
        <w:iCs/>
        <w:sz w:val="24"/>
        <w:szCs w:val="24"/>
        <w:lang w:eastAsia="it-IT"/>
      </w:rPr>
      <w:t xml:space="preserve">SEGRETARIATO GENERALE </w:t>
    </w:r>
  </w:p>
  <w:p w:rsidR="00A84DBA" w:rsidRPr="0027551B" w:rsidRDefault="00A84DBA" w:rsidP="00A84DBA">
    <w:pPr>
      <w:tabs>
        <w:tab w:val="center" w:pos="4819"/>
        <w:tab w:val="right" w:pos="9638"/>
      </w:tabs>
      <w:spacing w:after="0" w:line="240" w:lineRule="auto"/>
      <w:jc w:val="center"/>
      <w:rPr>
        <w:rFonts w:ascii="Times New Roman" w:eastAsia="Calibri" w:hAnsi="Times New Roman" w:cs="Times New Roman"/>
        <w:i/>
        <w:iCs/>
        <w:lang w:eastAsia="it-IT"/>
      </w:rPr>
    </w:pPr>
    <w:r w:rsidRPr="0027551B">
      <w:rPr>
        <w:rFonts w:ascii="Times New Roman" w:eastAsia="Calibri" w:hAnsi="Times New Roman" w:cs="Times New Roman"/>
        <w:i/>
        <w:iCs/>
        <w:lang w:eastAsia="it-IT"/>
      </w:rPr>
      <w:t>Direzione generale degli ordinamenti della formazione superiore e del diritto allo studio</w:t>
    </w:r>
  </w:p>
  <w:p w:rsidR="00A84DBA" w:rsidRDefault="00A84D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7"/>
    <w:rsid w:val="0004707D"/>
    <w:rsid w:val="000A3E98"/>
    <w:rsid w:val="000D1BA5"/>
    <w:rsid w:val="00215153"/>
    <w:rsid w:val="0030743E"/>
    <w:rsid w:val="00425061"/>
    <w:rsid w:val="00470EE5"/>
    <w:rsid w:val="005351AD"/>
    <w:rsid w:val="00551B27"/>
    <w:rsid w:val="00562DE0"/>
    <w:rsid w:val="005C7E1F"/>
    <w:rsid w:val="005D7A94"/>
    <w:rsid w:val="00600B87"/>
    <w:rsid w:val="00626F4D"/>
    <w:rsid w:val="007824C4"/>
    <w:rsid w:val="007A7F11"/>
    <w:rsid w:val="007E63C1"/>
    <w:rsid w:val="00806B51"/>
    <w:rsid w:val="00862BE1"/>
    <w:rsid w:val="009A7635"/>
    <w:rsid w:val="009F11B2"/>
    <w:rsid w:val="00A84DBA"/>
    <w:rsid w:val="00B57960"/>
    <w:rsid w:val="00C50AA6"/>
    <w:rsid w:val="00D856C1"/>
    <w:rsid w:val="00EB1D83"/>
    <w:rsid w:val="00EB5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C7903-8B3D-44C1-A213-18C8AF7A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84DBA"/>
    <w:rPr>
      <w:sz w:val="16"/>
      <w:szCs w:val="16"/>
    </w:rPr>
  </w:style>
  <w:style w:type="paragraph" w:styleId="Testocommento">
    <w:name w:val="annotation text"/>
    <w:basedOn w:val="Normale"/>
    <w:link w:val="TestocommentoCarattere"/>
    <w:uiPriority w:val="99"/>
    <w:semiHidden/>
    <w:unhideWhenUsed/>
    <w:rsid w:val="00A84D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84DBA"/>
    <w:rPr>
      <w:sz w:val="20"/>
      <w:szCs w:val="20"/>
    </w:rPr>
  </w:style>
  <w:style w:type="paragraph" w:styleId="Soggettocommento">
    <w:name w:val="annotation subject"/>
    <w:basedOn w:val="Testocommento"/>
    <w:next w:val="Testocommento"/>
    <w:link w:val="SoggettocommentoCarattere"/>
    <w:uiPriority w:val="99"/>
    <w:semiHidden/>
    <w:unhideWhenUsed/>
    <w:rsid w:val="00A84DBA"/>
    <w:rPr>
      <w:b/>
      <w:bCs/>
    </w:rPr>
  </w:style>
  <w:style w:type="character" w:customStyle="1" w:styleId="SoggettocommentoCarattere">
    <w:name w:val="Soggetto commento Carattere"/>
    <w:basedOn w:val="TestocommentoCarattere"/>
    <w:link w:val="Soggettocommento"/>
    <w:uiPriority w:val="99"/>
    <w:semiHidden/>
    <w:rsid w:val="00A84DBA"/>
    <w:rPr>
      <w:b/>
      <w:bCs/>
      <w:sz w:val="20"/>
      <w:szCs w:val="20"/>
    </w:rPr>
  </w:style>
  <w:style w:type="paragraph" w:styleId="Testofumetto">
    <w:name w:val="Balloon Text"/>
    <w:basedOn w:val="Normale"/>
    <w:link w:val="TestofumettoCarattere"/>
    <w:uiPriority w:val="99"/>
    <w:semiHidden/>
    <w:unhideWhenUsed/>
    <w:rsid w:val="00A84D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4DBA"/>
    <w:rPr>
      <w:rFonts w:ascii="Segoe UI" w:hAnsi="Segoe UI" w:cs="Segoe UI"/>
      <w:sz w:val="18"/>
      <w:szCs w:val="18"/>
    </w:rPr>
  </w:style>
  <w:style w:type="paragraph" w:styleId="Intestazione">
    <w:name w:val="header"/>
    <w:basedOn w:val="Normale"/>
    <w:link w:val="IntestazioneCarattere"/>
    <w:uiPriority w:val="99"/>
    <w:unhideWhenUsed/>
    <w:rsid w:val="00A84D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DBA"/>
  </w:style>
  <w:style w:type="paragraph" w:styleId="Pidipagina">
    <w:name w:val="footer"/>
    <w:basedOn w:val="Normale"/>
    <w:link w:val="PidipaginaCarattere"/>
    <w:uiPriority w:val="99"/>
    <w:unhideWhenUsed/>
    <w:rsid w:val="00A84D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DBA"/>
  </w:style>
  <w:style w:type="paragraph" w:customStyle="1" w:styleId="Default">
    <w:name w:val="Default"/>
    <w:rsid w:val="00600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ordinamenti@pec.mu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aterusso\Documents\Modelli%20di%20Office%20personalizzati\INTESTATATA%20UFFICIO%20II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40FAAE349DBC428DA0E60B253748FF" ma:contentTypeVersion="10" ma:contentTypeDescription="Creare un nuovo documento." ma:contentTypeScope="" ma:versionID="6dc7e04b6454ce400072bb6b44141f9f">
  <xsd:schema xmlns:xsd="http://www.w3.org/2001/XMLSchema" xmlns:xs="http://www.w3.org/2001/XMLSchema" xmlns:p="http://schemas.microsoft.com/office/2006/metadata/properties" xmlns:ns3="2e5601a7-e8bd-44a0-a5a4-4ca4ff79a688" targetNamespace="http://schemas.microsoft.com/office/2006/metadata/properties" ma:root="true" ma:fieldsID="790d08b0fdf70ef7f284ddfb65f3a77b" ns3:_="">
    <xsd:import namespace="2e5601a7-e8bd-44a0-a5a4-4ca4ff79a68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01a7-e8bd-44a0-a5a4-4ca4ff79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C1507-27FA-4A4C-984D-9C2131FF4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01a7-e8bd-44a0-a5a4-4ca4ff79a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49B5D-3591-4127-96F8-CC7CB8D2E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79AB-0A19-493F-ACBE-61822DDB0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INTESTATATA UFFICIO III</Template>
  <TotalTime>1</TotalTime>
  <Pages>3</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Abaterusso Riccardo</dc:creator>
  <cp:keywords/>
  <dc:description/>
  <cp:lastModifiedBy>MELONI Michele</cp:lastModifiedBy>
  <cp:revision>2</cp:revision>
  <dcterms:created xsi:type="dcterms:W3CDTF">2024-05-31T09:04:00Z</dcterms:created>
  <dcterms:modified xsi:type="dcterms:W3CDTF">2024-05-31T09:04:00Z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0x010100CA40FAAE349DBC428DA0E60B253748FF</vt:lpwstr>
  </property>
</Properties>
</file>